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1200" w:lineRule="exact"/>
        <w:ind w:firstLine="0" w:firstLineChars="0"/>
        <w:rPr>
          <w:rFonts w:ascii="Times New Roman" w:hAnsi="Times New Roman" w:eastAsia="仿宋_GB2312"/>
          <w:spacing w:val="3"/>
          <w:szCs w:val="32"/>
        </w:rPr>
      </w:pPr>
    </w:p>
    <w:p>
      <w:pPr>
        <w:keepNext w:val="0"/>
        <w:keepLines w:val="0"/>
        <w:pageBreakBefore w:val="0"/>
        <w:widowControl w:val="0"/>
        <w:kinsoku/>
        <w:overflowPunct/>
        <w:topLinePunct w:val="0"/>
        <w:autoSpaceDE/>
        <w:autoSpaceDN/>
        <w:bidi w:val="0"/>
        <w:adjustRightInd/>
        <w:snapToGrid/>
        <w:spacing w:line="560" w:lineRule="exact"/>
        <w:ind w:firstLine="960" w:firstLineChars="200"/>
        <w:jc w:val="both"/>
        <w:textAlignment w:val="auto"/>
        <w:rPr>
          <w:rFonts w:hint="default" w:ascii="Times New Roman" w:hAnsi="Times New Roman" w:eastAsia="方正小标宋_GBK" w:cs="Times New Roman"/>
          <w:spacing w:val="20"/>
          <w:kern w:val="0"/>
          <w:sz w:val="44"/>
          <w:szCs w:val="44"/>
          <w:highlight w:val="none"/>
          <w:u w:val="none" w:color="auto"/>
          <w:lang w:eastAsia="zh-CN" w:bidi="ar-SA"/>
        </w:rPr>
      </w:pPr>
      <w:r>
        <w:rPr>
          <w:rFonts w:hint="default" w:ascii="Times New Roman" w:hAnsi="Times New Roman" w:eastAsia="方正小标宋_GBK" w:cs="Times New Roman"/>
          <w:spacing w:val="20"/>
          <w:kern w:val="0"/>
          <w:sz w:val="44"/>
          <w:szCs w:val="44"/>
          <w:highlight w:val="none"/>
          <w:u w:val="none" w:color="auto"/>
          <w:lang w:eastAsia="zh-CN" w:bidi="ar-SA"/>
        </w:rPr>
        <w:t>惠州仲恺高新区国有建设用地使用权</w:t>
      </w:r>
    </w:p>
    <w:p>
      <w:pPr>
        <w:pStyle w:val="17"/>
        <w:keepNext w:val="0"/>
        <w:keepLines w:val="0"/>
        <w:pageBreakBefore w:val="0"/>
        <w:widowControl w:val="0"/>
        <w:kinsoku/>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pacing w:val="20"/>
          <w:kern w:val="0"/>
          <w:sz w:val="44"/>
          <w:szCs w:val="44"/>
          <w:highlight w:val="none"/>
          <w:u w:val="none" w:color="auto"/>
          <w:lang w:eastAsia="zh-CN" w:bidi="ar-SA"/>
        </w:rPr>
      </w:pPr>
      <w:r>
        <w:rPr>
          <w:rFonts w:hint="default" w:ascii="Times New Roman" w:hAnsi="Times New Roman" w:eastAsia="方正小标宋_GBK" w:cs="Times New Roman"/>
          <w:spacing w:val="20"/>
          <w:kern w:val="0"/>
          <w:sz w:val="44"/>
          <w:szCs w:val="44"/>
          <w:highlight w:val="none"/>
          <w:u w:val="none" w:color="auto"/>
          <w:lang w:eastAsia="zh-CN" w:bidi="ar-SA"/>
        </w:rPr>
        <w:t>网上挂牌出让公告</w:t>
      </w:r>
    </w:p>
    <w:p>
      <w:pPr>
        <w:keepNext w:val="0"/>
        <w:keepLines w:val="0"/>
        <w:pageBreakBefore w:val="0"/>
        <w:widowControl w:val="0"/>
        <w:kinsoku/>
        <w:overflowPunct/>
        <w:topLinePunct w:val="0"/>
        <w:autoSpaceDE/>
        <w:autoSpaceDN/>
        <w:bidi w:val="0"/>
        <w:adjustRightInd/>
        <w:snapToGrid/>
        <w:spacing w:line="620" w:lineRule="exact"/>
        <w:jc w:val="center"/>
        <w:textAlignment w:val="auto"/>
        <w:rPr>
          <w:rFonts w:eastAsia="仿宋_GB2312"/>
          <w:color w:val="auto"/>
          <w:sz w:val="32"/>
          <w:szCs w:val="32"/>
        </w:rPr>
      </w:pPr>
      <w:r>
        <w:rPr>
          <w:rFonts w:eastAsia="仿宋_GB2312"/>
          <w:color w:val="auto"/>
          <w:sz w:val="32"/>
          <w:szCs w:val="32"/>
        </w:rPr>
        <w:t>惠仲土挂告[</w:t>
      </w:r>
      <w:r>
        <w:rPr>
          <w:rFonts w:hint="eastAsia" w:eastAsia="仿宋_GB2312"/>
          <w:color w:val="auto"/>
          <w:sz w:val="32"/>
          <w:szCs w:val="32"/>
          <w:lang w:eastAsia="zh-CN"/>
        </w:rPr>
        <w:t>2023</w:t>
      </w:r>
      <w:r>
        <w:rPr>
          <w:rFonts w:eastAsia="仿宋_GB2312"/>
          <w:color w:val="auto"/>
          <w:sz w:val="32"/>
          <w:szCs w:val="32"/>
        </w:rPr>
        <w:t>]</w:t>
      </w:r>
      <w:r>
        <w:rPr>
          <w:rFonts w:hint="eastAsia" w:eastAsia="仿宋_GB2312"/>
          <w:color w:val="auto"/>
          <w:sz w:val="32"/>
          <w:szCs w:val="32"/>
          <w:lang w:val="en-US" w:eastAsia="zh-CN"/>
        </w:rPr>
        <w:t>019</w:t>
      </w:r>
      <w:r>
        <w:rPr>
          <w:rFonts w:eastAsia="仿宋_GB2312"/>
          <w:color w:val="auto"/>
          <w:sz w:val="32"/>
          <w:szCs w:val="32"/>
        </w:rPr>
        <w:t>号</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eastAsia="仿宋_GB2312"/>
          <w:color w:val="auto"/>
          <w:sz w:val="32"/>
          <w:szCs w:val="32"/>
        </w:rPr>
      </w:pP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招标拍卖挂牌出让国有建设用地使用权规定》（国土资源部令第39号）和《广东省土地使用权交易市场管理规定》（广东省人民政府令第79号）的规定，经批准，我局决定以网上挂牌方式公开出让下列10宗国有建设用地使用权。现将有关事项公告如下：</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一、网上挂牌出让地块基本情况及规划指标要求（见附表）</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二、挂牌起始价及加价幅度（见附表）</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三、时间安排</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（一）公告时间：2023年5月30日至2023年6月19日。</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（二）网上挂牌竞买时间：2023年6月19日9时至2023年7月4日10时。</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（三）竞买保证金到账截止时间为：2023年7月4日9时。</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四、竞买资格及要求</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中华人民共和国境内外的法人和其他组织（除法律法规另有规定外）具备本条规定条件的，均可申请参加竞买。申请人可以单独申请，也可以联合申请，竞买申请人必须同时具备下列条件：</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（一）缴纳足额竞买保证金；</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（二）拖欠地价款、闲置土地、囤地炒地、有违法或不良信用记录的企业及其控股股东不得参与竞买。</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五、竞买保证金</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（一）本公告10宗地块竞买保证金详见附表；</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（二）申请人应当在网上挂牌出让竞买保证金到账截止时间前登录惠州市公共资源交易中心土地与矿业网上挂牌交易系统（以下简称“网上挂牌交易系统”，网址：https://www.hzgtjy.com/）获取竞买保证金支付账号；</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（三）竞买保证金到账时间以网上挂牌交易系统确认并发出《保证金到账通知书》为准。</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六、竞买申请</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公告10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本公告10宗国有建设用地使用权网上挂牌出让实行竞买资格后置审查。竞买申请人交纳足额竞买保证金即获得竞买报价权限。</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七、竞买人电子报价及电子限时竞价</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竞买人须详细阅读本宗地网上挂牌出让公告、竞买须知及网上挂牌交易系统操作指南，熟练操作网上挂牌交易系统，按竞买规则进行电子报价及电子限时竞价。</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八、确定成交候选人</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本公告10宗国有建设用地使用权网上挂牌出让为无底价挂牌采取价高者得方式出让并确定成交候选人。</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九、资格审查</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成交候选人应在网上挂牌交易系统确定成交候选人之日起5个工作日内将竞买申请书等材料上传至土地与矿业网上挂牌交易系统，由惠州市自然资源局仲恺高新技术产业开发区分局对竞买资格进行审查。惠州市自然资源局仲恺高新技术产业开发区分局将于2023年7月11日前确定符合竞买资格的成交候选人为竞得人（成交候选人上传材料的具体操作详见网上挂牌交易系统资料下载栏目中的《惠州市公共资源交易中心土地与矿业交易系统新增建设功能操作指南》）</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成交候选人资格审查须提交下列材料：</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（一）《竞买申请书》（加盖公章）；</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（二）《竞价结果通知书》（加盖公章）；</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（三）《竞买保证金到账通知书》（加盖公章）；</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（四）竞买保证金转账凭证复印件（加盖公章）；</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（五）申请竞买人有效的《营业执照》复印件（加盖公章）；</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（六）法定代表人身份证复印件（加盖公章）；</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（七）授权他人代理的授权委托书及代理人身份证复印件（加盖公章）；</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（八）惠州仲恺高新区管理委员会经济发展和统计局出具的与本公告宗地要求对应产业类型一致的优先发展产业项目文件复印件（加盖公章）。</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十、签订成交确认书、出让合同及支付土地出让金</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竞得人应在接到竞得人确定通知之日起5个工作日内与惠州市自然资源局仲恺高新技术产业开发区分局、惠州市公共资源交易中心仲恺分中心签订《成交确认书》，签订《成交确认书》之日起5个工作日内，须向惠州市自然资源局仲恺高新技术产业开发区分局提交申请受让国有建设用地使用权的有关材料；签订《成交确认书》之日起10个工作日内，须与出让人签订《出让合同》。土地出让金于《出让合同》签订之日起30日内一次性付清。竞得人逾期不签订《出让合同》的或已签《出让合同》不缴纳成交价款的，必须收回土地，并按规定处罚。</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付清出让金及有关税费后，竞得人可申请办理建设用地审批及土地登记发证手续。</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十一、竞买保证金退还或转付成交价款</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未成功竞得的竞买人所交竞买保证金，在5个工作日内予以退还；若违法违规竞买的，按有关规定处罚后予以退还。</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竞得人签订《成交确认书》后，缴交的保证金中按成交价的20%转作定金；竞得人逾期或拒绝签订《出让合同》的，定金不予退还。竞得人签订《出让合同》后，定金转作土地出让价款。</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十二、违规责任</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成交候选人（或竞得人）有下列行为之一的，取消候选人资格（或竞得资格），竞价结果无效，竞买保证金不予退还，造成损失的，成交候选人（或竞得人）还应依法承担赔偿责任：</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（一）不符合竞买资格条件的；</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（二）提供虚假文件材料，隐瞒重要事实的；</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（三）采取行贿、恶意串通等非法手段竞得的；</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（四）无正当理由逾期或拒绝签订成交确认书的。</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十三、其他需要公告的事项</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（一）本公告10宗地网上挂牌出让的详细资料和具体要求，见网上挂牌交易系统。申请人可在网上挂牌交易系统下载挂牌出让公告、须知及相关交易文件；</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（二）有意竞买者可以自行到地块现场踏勘（可在网上挂牌交易系统查阅用地红线图）；</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（三）地块周边基础设施已基本配套，具备动工建设所必需的条件；</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（四）竞买申请一经受理确认后，即视为竞买人对网上挂牌出让公告、须知、相关交易文件及地块现状无异议并全部接受，并对有关承诺承担法律责任；</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（五）非仲恺高新区注册登记的企业竞得土地使用权的，必须在竞得土地后2个月内在惠州仲恺高新区管理委员会市场监督管理局注册成立项目开发公司，并以该公司名义办理土地出让与登记发证手续；</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（六）竞得人除缴交成交地价款外，还需按规定缴交契税等有关税费；</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竞得人须在签订《国有建设用地使用权出让合同》（以下简称“《出让合同》”）时，提交惠州仲恺高新区管理委员会经济发展和统计局出具的与本公告宗地产业类型一致的优先发展产业项目文件；挂牌编号为惠仲土（用地）挂[2023]041号的宗地需同步提交与相关部门签订的《仲恺高新区产业项目土地建设监管协议书》，挂牌编号为惠仲土（用地）挂[2023]042号的宗地需同步提交与相关部门签订的《仲恺高新区产业项目土地开发监管协议书》，其余宗地需同步提交与相关部门签订的《仲恺高新区产业项目投资建设协议书》，各宗地开发及使用规定详见附表（挂牌起始价及地块规划建设要求等主要指标附表）；</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（八）地块动工竣工时间及地块交付时间</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出让合同》签订之日交付土地；挂牌编号为惠仲土（用地）挂[2023]041号的宗地，动、竣工时间按《仲恺高新区产业项目土地建设监管协议书》执行；挂牌编号为惠仲土（用地）挂[2023]042号的宗地，动、竣工时间按《仲恺高新区产业项目土地开发监管协议书》执行；其余宗地动、竣工时间按《仲恺高新区产业项目投资建设协议书》执行；</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（九）挂牌编号为惠仲土（用地）挂[2023]041号及惠仲土（用地）挂[2023]048号的宗地需与相连地块统一规划、统一建设；</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挂牌编号为惠仲土（用地）挂[2023]041号的宗地项目未达到本公告规定的集约用地指标或者非优先发展产业的，用地单位必须按《出让合同》及《仲恺高新区产业项目土地建设监管协议书》的约定补缴土地出让金、缴交违约金等，如果需要补缴土地出让金的，补缴土地出让金由惠州市自然资源局仲恺高新技术产业开发区分局委托评估机构进行评估确定，估价期日应以自然资源主管部门依法受理补缴地价申请时点为准；《仲恺高新区产业项目土地建设监管协议书》的后续监管职责由相关部门负责对竞得人履行；</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一）挂牌编号为惠仲土（用地）挂[2023]042号的宗地项目未达到本公告规定的集约用地指标或者非优先发展产业的，用地单位必须按《出让合同》及《仲恺高新区产业项目土地开发监管协议书》的约定补缴土地出让金、缴交违约金等，如果需要补缴土地出让金的，补缴土地出让金由惠州市自然资源局仲恺高新技术产业开发区分局委托评估机构进行评估确定，估价期日应以自然资源主管部门依法受理补缴地价申请时点为准；《仲恺高新区产业项目土地开发监管协议书》的后续监管职责由相关部门负责对竞得人履行；</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二）其余宗地项目未达到本公告规定的集约用地指标或者非优先发展产业的，用地单位必须按《出让合同》及《仲恺高新区产业项目投资建设协议书》的约定补缴土地出让金、缴交违约金等，如果需要补缴土地出让金的，补缴土地出让金由惠州市自然资源局仲恺高新技术产业开发区分局委托评估机构进行评估确定，估价期日应以自然资源主管部门依法受理补缴地价申请时点为准；《仲恺高新区产业项目投资建设协议书》的后续监管职责由相关部门负责对竞得人履行；</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（十三）本公告10宗地设计方案应满足《规划设计条件告知书》要求，而《规划设计条件告知书》未明确的相关内容应符合现行国家、省、市有关的法律、法规、技术规范标准和政策等规定；</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（十四）本公告10宗地交易全程适用《惠州市政务服务数据管理局惠州市公共资源交易中心公共资源电子交易规则》（惠市政数〔2022〕3号）。</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十四、联系方式</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出让方：惠州市自然资源局仲恺高新技术产业开发区分局</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联系地址：广东省惠州市仲恺高新区和畅五路人才服务大厦5楼</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联系人：胡女士 游女士 欧阳先生 张先生 徐先生 赖先生</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联系电话：0752-3271601、0752-3271633、0752-3271636</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交易机构：惠州市公共资源交易中心仲恺分中心</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联系地址：广东省惠州市仲恺高新区和畅五路人才服务大厦</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10楼</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联系人：汪先生 房女士 欧阳先生</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联系电话：0752-3278419</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注：本公告同时在下列网站及场所发布</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中国土地市场网：http://www.landchina.com</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广东省公共资源交易平台: https://ygpgdzwfw.gov.cn/</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惠州市公共资源交易中心网：</w:t>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HYPERLINK "http://zyjy.huizhou.gov.cn/" </w:instrText>
      </w:r>
      <w:r>
        <w:rPr>
          <w:rFonts w:ascii="Times New Roman" w:hAnsi="Times New Roman" w:eastAsia="仿宋_GB2312" w:cs="Times New Roman"/>
          <w:sz w:val="32"/>
          <w:szCs w:val="32"/>
        </w:rPr>
        <w:fldChar w:fldCharType="separate"/>
      </w:r>
      <w:r>
        <w:rPr>
          <w:rFonts w:hint="eastAsia" w:ascii="Times New Roman" w:hAnsi="Times New Roman" w:eastAsia="仿宋_GB2312" w:cs="Times New Roman"/>
          <w:sz w:val="32"/>
          <w:szCs w:val="32"/>
        </w:rPr>
        <w:t>http://zyjy.huizhou.gov.cn</w:t>
      </w:r>
      <w:r>
        <w:rPr>
          <w:rFonts w:ascii="Times New Roman" w:hAnsi="Times New Roman" w:eastAsia="仿宋_GB2312" w:cs="Times New Roman"/>
          <w:sz w:val="32"/>
          <w:szCs w:val="32"/>
        </w:rPr>
        <w:fldChar w:fldCharType="end"/>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惠州市公共资源交易中心仲恺分中心网站：</w:t>
      </w:r>
    </w:p>
    <w:p>
      <w:pPr>
        <w:pStyle w:val="17"/>
        <w:wordWrap/>
        <w:spacing w:line="56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HYPERLINK "http://www.hzzk.gov.cn/gwhbm/hzsggzyjyzxzzfzx/index.html" </w:instrText>
      </w:r>
      <w:r>
        <w:rPr>
          <w:rFonts w:ascii="Times New Roman" w:hAnsi="Times New Roman" w:eastAsia="仿宋_GB2312" w:cs="Times New Roman"/>
          <w:sz w:val="32"/>
          <w:szCs w:val="32"/>
        </w:rPr>
        <w:fldChar w:fldCharType="separate"/>
      </w:r>
      <w:r>
        <w:rPr>
          <w:rFonts w:hint="eastAsia" w:ascii="Times New Roman" w:hAnsi="Times New Roman" w:eastAsia="仿宋_GB2312" w:cs="Times New Roman"/>
          <w:sz w:val="32"/>
          <w:szCs w:val="32"/>
        </w:rPr>
        <w:t>http: //www.hzzk.gov.cn/gwhbm/hzsggzyjyzxzzfzx/index. html</w:t>
      </w:r>
      <w:r>
        <w:rPr>
          <w:rFonts w:ascii="Times New Roman" w:hAnsi="Times New Roman" w:eastAsia="仿宋_GB2312" w:cs="Times New Roman"/>
          <w:sz w:val="32"/>
          <w:szCs w:val="32"/>
        </w:rPr>
        <w:fldChar w:fldCharType="end"/>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惠州市自然资源局仲恺高新技术产业开发区分局网站：</w:t>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HYPERLINK "http://www.hzzk.gov.cn/gwhbm/zzgxqgtzyfj/" </w:instrText>
      </w:r>
      <w:r>
        <w:rPr>
          <w:rFonts w:ascii="Times New Roman" w:hAnsi="Times New Roman" w:eastAsia="仿宋_GB2312" w:cs="Times New Roman"/>
          <w:sz w:val="32"/>
          <w:szCs w:val="32"/>
        </w:rPr>
        <w:fldChar w:fldCharType="separate"/>
      </w:r>
      <w:r>
        <w:rPr>
          <w:rFonts w:hint="eastAsia" w:ascii="Times New Roman" w:hAnsi="Times New Roman" w:eastAsia="仿宋_GB2312" w:cs="Times New Roman"/>
          <w:sz w:val="32"/>
          <w:szCs w:val="32"/>
        </w:rPr>
        <w:t>http://www.hzzk.gov.cn/gwhbm/zzgxqgtzyfj/</w:t>
      </w:r>
      <w:r>
        <w:rPr>
          <w:rFonts w:ascii="Times New Roman" w:hAnsi="Times New Roman" w:eastAsia="仿宋_GB2312" w:cs="Times New Roman"/>
          <w:sz w:val="32"/>
          <w:szCs w:val="32"/>
        </w:rPr>
        <w:fldChar w:fldCharType="end"/>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惠州市公共资源交易中心仲恺分中心服务大厅电子屏幕。</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数字证书办理地址：广东省惠州市惠城区三新北路31号市 民服务中心3号楼惠州市公共资源交易中心一楼大厅1号土地与矿业交易窗口。</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联系人：罗工</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联系电话：0752-7121029</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w:t>
      </w:r>
    </w:p>
    <w:p>
      <w:pPr>
        <w:pStyle w:val="17"/>
        <w:wordWrap/>
        <w:spacing w:line="560" w:lineRule="exact"/>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仲恺高新区自然资源分局    </w:t>
      </w:r>
    </w:p>
    <w:p>
      <w:pPr>
        <w:pStyle w:val="17"/>
        <w:wordWrap/>
        <w:spacing w:line="56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2023年5月30日</w:t>
      </w:r>
    </w:p>
    <w:p>
      <w:pPr>
        <w:pStyle w:val="17"/>
        <w:wordWrap/>
        <w:spacing w:line="56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pStyle w:val="10"/>
        <w:ind w:firstLine="640"/>
        <w:rPr>
          <w:rFonts w:ascii="Times New Roman" w:hAnsi="Times New Roman" w:eastAsia="仿宋_GB2312"/>
          <w:szCs w:val="32"/>
        </w:rPr>
        <w:sectPr>
          <w:pgSz w:w="11906" w:h="16838"/>
          <w:pgMar w:top="2098" w:right="1474" w:bottom="1984" w:left="1587" w:header="851" w:footer="992" w:gutter="0"/>
          <w:cols w:space="720" w:num="1"/>
          <w:docGrid w:type="lines" w:linePitch="312" w:charSpace="0"/>
        </w:sectPr>
      </w:pPr>
    </w:p>
    <w:p>
      <w:pPr>
        <w:tabs>
          <w:tab w:val="left" w:pos="11340"/>
        </w:tabs>
        <w:spacing w:line="0" w:lineRule="atLeast"/>
        <w:jc w:val="center"/>
        <w:rPr>
          <w:rFonts w:hint="eastAsia" w:ascii="华文中宋" w:hAnsi="华文中宋" w:eastAsia="华文中宋" w:cs="华文中宋"/>
          <w:color w:val="auto"/>
          <w:sz w:val="32"/>
          <w:szCs w:val="32"/>
        </w:rPr>
      </w:pPr>
      <w:r>
        <w:rPr>
          <w:rFonts w:hint="eastAsia" w:ascii="华文中宋" w:hAnsi="华文中宋" w:eastAsia="华文中宋" w:cs="华文中宋"/>
          <w:color w:val="auto"/>
          <w:sz w:val="32"/>
          <w:szCs w:val="32"/>
        </w:rPr>
        <w:t>挂牌起始价及地块规划建设要求等主要指标附表</w:t>
      </w:r>
    </w:p>
    <w:tbl>
      <w:tblPr>
        <w:tblStyle w:val="7"/>
        <w:tblpPr w:leftFromText="180" w:rightFromText="180" w:vertAnchor="text" w:horzAnchor="page" w:tblpXSpec="center" w:tblpY="137"/>
        <w:tblOverlap w:val="never"/>
        <w:tblW w:w="15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09"/>
        <w:gridCol w:w="661"/>
        <w:gridCol w:w="640"/>
        <w:gridCol w:w="487"/>
        <w:gridCol w:w="695"/>
        <w:gridCol w:w="755"/>
        <w:gridCol w:w="1000"/>
        <w:gridCol w:w="559"/>
        <w:gridCol w:w="747"/>
        <w:gridCol w:w="854"/>
        <w:gridCol w:w="714"/>
        <w:gridCol w:w="714"/>
        <w:gridCol w:w="743"/>
        <w:gridCol w:w="670"/>
        <w:gridCol w:w="772"/>
        <w:gridCol w:w="773"/>
        <w:gridCol w:w="1230"/>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7" w:type="dxa"/>
            <w:vMerge w:val="restart"/>
            <w:vAlign w:val="center"/>
          </w:tcPr>
          <w:p>
            <w:pPr>
              <w:pStyle w:val="13"/>
              <w:spacing w:line="0" w:lineRule="atLeast"/>
              <w:jc w:val="center"/>
              <w:rPr>
                <w:sz w:val="18"/>
                <w:szCs w:val="18"/>
              </w:rPr>
            </w:pPr>
            <w:r>
              <w:rPr>
                <w:sz w:val="18"/>
                <w:szCs w:val="18"/>
              </w:rPr>
              <w:t>地块挂牌编号</w:t>
            </w:r>
          </w:p>
        </w:tc>
        <w:tc>
          <w:tcPr>
            <w:tcW w:w="709" w:type="dxa"/>
            <w:vMerge w:val="restart"/>
            <w:vAlign w:val="center"/>
          </w:tcPr>
          <w:p>
            <w:pPr>
              <w:pStyle w:val="13"/>
              <w:spacing w:line="0" w:lineRule="atLeast"/>
              <w:jc w:val="center"/>
              <w:rPr>
                <w:sz w:val="18"/>
                <w:szCs w:val="18"/>
              </w:rPr>
            </w:pPr>
            <w:r>
              <w:rPr>
                <w:sz w:val="18"/>
                <w:szCs w:val="18"/>
              </w:rPr>
              <w:t>土地</w:t>
            </w:r>
          </w:p>
          <w:p>
            <w:pPr>
              <w:pStyle w:val="13"/>
              <w:spacing w:line="0" w:lineRule="atLeast"/>
              <w:jc w:val="center"/>
              <w:rPr>
                <w:sz w:val="18"/>
                <w:szCs w:val="18"/>
              </w:rPr>
            </w:pPr>
            <w:r>
              <w:rPr>
                <w:sz w:val="18"/>
                <w:szCs w:val="18"/>
              </w:rPr>
              <w:t>位置</w:t>
            </w:r>
          </w:p>
        </w:tc>
        <w:tc>
          <w:tcPr>
            <w:tcW w:w="661" w:type="dxa"/>
            <w:vMerge w:val="restart"/>
            <w:vAlign w:val="center"/>
          </w:tcPr>
          <w:p>
            <w:pPr>
              <w:pStyle w:val="13"/>
              <w:spacing w:line="0" w:lineRule="atLeast"/>
              <w:jc w:val="center"/>
              <w:rPr>
                <w:sz w:val="18"/>
                <w:szCs w:val="18"/>
              </w:rPr>
            </w:pPr>
            <w:r>
              <w:rPr>
                <w:sz w:val="18"/>
                <w:szCs w:val="18"/>
              </w:rPr>
              <w:t>用地</w:t>
            </w:r>
          </w:p>
          <w:p>
            <w:pPr>
              <w:pStyle w:val="13"/>
              <w:spacing w:line="0" w:lineRule="atLeast"/>
              <w:jc w:val="center"/>
              <w:rPr>
                <w:sz w:val="18"/>
                <w:szCs w:val="18"/>
              </w:rPr>
            </w:pPr>
            <w:r>
              <w:rPr>
                <w:sz w:val="18"/>
                <w:szCs w:val="18"/>
              </w:rPr>
              <w:t>编号</w:t>
            </w:r>
          </w:p>
        </w:tc>
        <w:tc>
          <w:tcPr>
            <w:tcW w:w="640" w:type="dxa"/>
            <w:vMerge w:val="restart"/>
            <w:vAlign w:val="center"/>
          </w:tcPr>
          <w:p>
            <w:pPr>
              <w:pStyle w:val="13"/>
              <w:spacing w:line="0" w:lineRule="atLeast"/>
              <w:jc w:val="center"/>
              <w:rPr>
                <w:sz w:val="18"/>
                <w:szCs w:val="18"/>
              </w:rPr>
            </w:pPr>
            <w:r>
              <w:rPr>
                <w:sz w:val="18"/>
                <w:szCs w:val="18"/>
              </w:rPr>
              <w:t>宗地总面积（㎡）</w:t>
            </w:r>
          </w:p>
        </w:tc>
        <w:tc>
          <w:tcPr>
            <w:tcW w:w="487" w:type="dxa"/>
            <w:vMerge w:val="restart"/>
            <w:vAlign w:val="center"/>
          </w:tcPr>
          <w:p>
            <w:pPr>
              <w:pStyle w:val="13"/>
              <w:spacing w:line="0" w:lineRule="atLeast"/>
              <w:jc w:val="center"/>
              <w:rPr>
                <w:sz w:val="18"/>
                <w:szCs w:val="18"/>
              </w:rPr>
            </w:pPr>
            <w:r>
              <w:rPr>
                <w:sz w:val="18"/>
                <w:szCs w:val="18"/>
              </w:rPr>
              <w:t>土地</w:t>
            </w:r>
          </w:p>
          <w:p>
            <w:pPr>
              <w:pStyle w:val="13"/>
              <w:spacing w:line="0" w:lineRule="atLeast"/>
              <w:jc w:val="center"/>
              <w:rPr>
                <w:sz w:val="18"/>
                <w:szCs w:val="18"/>
              </w:rPr>
            </w:pPr>
            <w:r>
              <w:rPr>
                <w:sz w:val="18"/>
                <w:szCs w:val="18"/>
              </w:rPr>
              <w:t>用途</w:t>
            </w:r>
          </w:p>
        </w:tc>
        <w:tc>
          <w:tcPr>
            <w:tcW w:w="4610" w:type="dxa"/>
            <w:gridSpan w:val="6"/>
            <w:vAlign w:val="center"/>
          </w:tcPr>
          <w:p>
            <w:pPr>
              <w:pStyle w:val="13"/>
              <w:spacing w:line="0" w:lineRule="atLeast"/>
              <w:jc w:val="center"/>
              <w:rPr>
                <w:sz w:val="18"/>
                <w:szCs w:val="18"/>
              </w:rPr>
            </w:pPr>
            <w:r>
              <w:rPr>
                <w:sz w:val="18"/>
                <w:szCs w:val="18"/>
              </w:rPr>
              <w:t>规划指标</w:t>
            </w:r>
          </w:p>
        </w:tc>
        <w:tc>
          <w:tcPr>
            <w:tcW w:w="714" w:type="dxa"/>
            <w:vMerge w:val="restart"/>
            <w:vAlign w:val="center"/>
          </w:tcPr>
          <w:p>
            <w:pPr>
              <w:pStyle w:val="13"/>
              <w:spacing w:line="0" w:lineRule="atLeast"/>
              <w:jc w:val="center"/>
              <w:rPr>
                <w:sz w:val="18"/>
                <w:szCs w:val="18"/>
              </w:rPr>
            </w:pPr>
            <w:r>
              <w:rPr>
                <w:sz w:val="18"/>
                <w:szCs w:val="18"/>
              </w:rPr>
              <w:t>出让</w:t>
            </w:r>
          </w:p>
          <w:p>
            <w:pPr>
              <w:pStyle w:val="13"/>
              <w:spacing w:line="0" w:lineRule="atLeast"/>
              <w:jc w:val="center"/>
              <w:rPr>
                <w:sz w:val="18"/>
                <w:szCs w:val="18"/>
              </w:rPr>
            </w:pPr>
            <w:r>
              <w:rPr>
                <w:sz w:val="18"/>
                <w:szCs w:val="18"/>
              </w:rPr>
              <w:t>年限（年）</w:t>
            </w:r>
          </w:p>
        </w:tc>
        <w:tc>
          <w:tcPr>
            <w:tcW w:w="714" w:type="dxa"/>
            <w:vMerge w:val="restart"/>
            <w:vAlign w:val="center"/>
          </w:tcPr>
          <w:p>
            <w:pPr>
              <w:pStyle w:val="13"/>
              <w:spacing w:line="0" w:lineRule="atLeast"/>
              <w:jc w:val="center"/>
              <w:rPr>
                <w:sz w:val="18"/>
                <w:szCs w:val="18"/>
              </w:rPr>
            </w:pPr>
            <w:r>
              <w:rPr>
                <w:sz w:val="18"/>
                <w:szCs w:val="18"/>
              </w:rPr>
              <w:t>挂牌</w:t>
            </w:r>
          </w:p>
          <w:p>
            <w:pPr>
              <w:pStyle w:val="13"/>
              <w:spacing w:line="0" w:lineRule="atLeast"/>
              <w:jc w:val="center"/>
              <w:rPr>
                <w:sz w:val="18"/>
                <w:szCs w:val="18"/>
              </w:rPr>
            </w:pPr>
            <w:r>
              <w:rPr>
                <w:sz w:val="18"/>
                <w:szCs w:val="18"/>
              </w:rPr>
              <w:t>起始价</w:t>
            </w:r>
          </w:p>
          <w:p>
            <w:pPr>
              <w:pStyle w:val="13"/>
              <w:spacing w:line="0" w:lineRule="atLeast"/>
              <w:jc w:val="center"/>
              <w:rPr>
                <w:sz w:val="18"/>
                <w:szCs w:val="18"/>
              </w:rPr>
            </w:pPr>
            <w:r>
              <w:rPr>
                <w:sz w:val="18"/>
                <w:szCs w:val="18"/>
              </w:rPr>
              <w:t>（万元）</w:t>
            </w:r>
          </w:p>
        </w:tc>
        <w:tc>
          <w:tcPr>
            <w:tcW w:w="743" w:type="dxa"/>
            <w:vMerge w:val="restart"/>
            <w:vAlign w:val="center"/>
          </w:tcPr>
          <w:p>
            <w:pPr>
              <w:pStyle w:val="13"/>
              <w:spacing w:line="0" w:lineRule="atLeast"/>
              <w:jc w:val="center"/>
              <w:rPr>
                <w:sz w:val="18"/>
                <w:szCs w:val="18"/>
              </w:rPr>
            </w:pPr>
            <w:r>
              <w:rPr>
                <w:sz w:val="18"/>
                <w:szCs w:val="18"/>
              </w:rPr>
              <w:t>加价</w:t>
            </w:r>
          </w:p>
          <w:p>
            <w:pPr>
              <w:pStyle w:val="13"/>
              <w:spacing w:line="0" w:lineRule="atLeast"/>
              <w:jc w:val="center"/>
              <w:rPr>
                <w:sz w:val="18"/>
                <w:szCs w:val="18"/>
              </w:rPr>
            </w:pPr>
            <w:r>
              <w:rPr>
                <w:sz w:val="18"/>
                <w:szCs w:val="18"/>
              </w:rPr>
              <w:t>幅度</w:t>
            </w:r>
          </w:p>
          <w:p>
            <w:pPr>
              <w:pStyle w:val="13"/>
              <w:spacing w:line="0" w:lineRule="atLeast"/>
              <w:jc w:val="center"/>
              <w:rPr>
                <w:sz w:val="18"/>
                <w:szCs w:val="18"/>
              </w:rPr>
            </w:pPr>
            <w:r>
              <w:rPr>
                <w:sz w:val="18"/>
                <w:szCs w:val="18"/>
              </w:rPr>
              <w:t>（万元）</w:t>
            </w:r>
          </w:p>
        </w:tc>
        <w:tc>
          <w:tcPr>
            <w:tcW w:w="670" w:type="dxa"/>
            <w:vMerge w:val="restart"/>
            <w:vAlign w:val="center"/>
          </w:tcPr>
          <w:p>
            <w:pPr>
              <w:pStyle w:val="13"/>
              <w:spacing w:line="0" w:lineRule="atLeast"/>
              <w:jc w:val="center"/>
              <w:rPr>
                <w:sz w:val="18"/>
                <w:szCs w:val="18"/>
              </w:rPr>
            </w:pPr>
            <w:r>
              <w:rPr>
                <w:sz w:val="18"/>
                <w:szCs w:val="18"/>
              </w:rPr>
              <w:t>竞买</w:t>
            </w:r>
          </w:p>
          <w:p>
            <w:pPr>
              <w:pStyle w:val="13"/>
              <w:spacing w:line="0" w:lineRule="atLeast"/>
              <w:jc w:val="center"/>
              <w:rPr>
                <w:sz w:val="18"/>
                <w:szCs w:val="18"/>
              </w:rPr>
            </w:pPr>
            <w:r>
              <w:rPr>
                <w:sz w:val="18"/>
                <w:szCs w:val="18"/>
              </w:rPr>
              <w:t>保证金</w:t>
            </w:r>
          </w:p>
          <w:p>
            <w:pPr>
              <w:pStyle w:val="13"/>
              <w:spacing w:line="0" w:lineRule="atLeast"/>
              <w:jc w:val="center"/>
              <w:rPr>
                <w:sz w:val="18"/>
                <w:szCs w:val="18"/>
              </w:rPr>
            </w:pPr>
            <w:r>
              <w:rPr>
                <w:sz w:val="18"/>
                <w:szCs w:val="18"/>
              </w:rPr>
              <w:t>（万元）</w:t>
            </w:r>
          </w:p>
        </w:tc>
        <w:tc>
          <w:tcPr>
            <w:tcW w:w="772" w:type="dxa"/>
            <w:vMerge w:val="restart"/>
            <w:vAlign w:val="center"/>
          </w:tcPr>
          <w:p>
            <w:pPr>
              <w:pStyle w:val="13"/>
              <w:spacing w:line="0" w:lineRule="atLeast"/>
              <w:jc w:val="center"/>
              <w:rPr>
                <w:sz w:val="18"/>
                <w:szCs w:val="18"/>
              </w:rPr>
            </w:pPr>
            <w:r>
              <w:rPr>
                <w:sz w:val="18"/>
                <w:szCs w:val="18"/>
              </w:rPr>
              <w:t>保证金截止时间</w:t>
            </w:r>
          </w:p>
        </w:tc>
        <w:tc>
          <w:tcPr>
            <w:tcW w:w="773" w:type="dxa"/>
            <w:vMerge w:val="restart"/>
            <w:vAlign w:val="center"/>
          </w:tcPr>
          <w:p>
            <w:pPr>
              <w:pStyle w:val="13"/>
              <w:spacing w:line="0" w:lineRule="atLeast"/>
              <w:jc w:val="center"/>
              <w:rPr>
                <w:sz w:val="18"/>
                <w:szCs w:val="18"/>
              </w:rPr>
            </w:pPr>
            <w:r>
              <w:rPr>
                <w:sz w:val="18"/>
                <w:szCs w:val="18"/>
              </w:rPr>
              <w:t>投资强度</w:t>
            </w:r>
          </w:p>
        </w:tc>
        <w:tc>
          <w:tcPr>
            <w:tcW w:w="1230" w:type="dxa"/>
            <w:vMerge w:val="restart"/>
            <w:vAlign w:val="center"/>
          </w:tcPr>
          <w:p>
            <w:pPr>
              <w:pStyle w:val="13"/>
              <w:spacing w:line="0" w:lineRule="atLeast"/>
              <w:jc w:val="center"/>
              <w:rPr>
                <w:sz w:val="18"/>
                <w:szCs w:val="18"/>
              </w:rPr>
            </w:pPr>
            <w:r>
              <w:rPr>
                <w:sz w:val="18"/>
                <w:szCs w:val="18"/>
              </w:rPr>
              <w:t>产业类型</w:t>
            </w:r>
          </w:p>
        </w:tc>
        <w:tc>
          <w:tcPr>
            <w:tcW w:w="1095" w:type="dxa"/>
            <w:vMerge w:val="restart"/>
            <w:vAlign w:val="center"/>
          </w:tcPr>
          <w:p>
            <w:pPr>
              <w:pStyle w:val="13"/>
              <w:spacing w:line="0" w:lineRule="atLeast"/>
              <w:jc w:val="center"/>
              <w:rPr>
                <w:sz w:val="18"/>
                <w:szCs w:val="18"/>
              </w:rPr>
            </w:pPr>
            <w:r>
              <w:rPr>
                <w:rFonts w:hint="eastAsia"/>
                <w:sz w:val="18"/>
                <w:szCs w:val="18"/>
              </w:rPr>
              <w:t>产业项目协议书签订部门</w:t>
            </w:r>
          </w:p>
        </w:tc>
        <w:tc>
          <w:tcPr>
            <w:tcW w:w="1095" w:type="dxa"/>
            <w:vMerge w:val="restart"/>
            <w:vAlign w:val="center"/>
          </w:tcPr>
          <w:p>
            <w:pPr>
              <w:pStyle w:val="13"/>
              <w:spacing w:line="0" w:lineRule="atLeast"/>
              <w:jc w:val="center"/>
              <w:rPr>
                <w:sz w:val="18"/>
                <w:szCs w:val="18"/>
              </w:rPr>
            </w:pPr>
            <w:r>
              <w:rPr>
                <w:rFonts w:hint="eastAsia"/>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717" w:type="dxa"/>
            <w:vMerge w:val="continue"/>
          </w:tcPr>
          <w:p>
            <w:pPr>
              <w:pStyle w:val="13"/>
              <w:spacing w:line="0" w:lineRule="atLeast"/>
              <w:jc w:val="center"/>
              <w:rPr>
                <w:sz w:val="18"/>
                <w:szCs w:val="18"/>
              </w:rPr>
            </w:pPr>
          </w:p>
        </w:tc>
        <w:tc>
          <w:tcPr>
            <w:tcW w:w="709" w:type="dxa"/>
            <w:vMerge w:val="continue"/>
          </w:tcPr>
          <w:p>
            <w:pPr>
              <w:pStyle w:val="13"/>
              <w:spacing w:line="0" w:lineRule="atLeast"/>
              <w:jc w:val="center"/>
              <w:rPr>
                <w:sz w:val="18"/>
                <w:szCs w:val="18"/>
              </w:rPr>
            </w:pPr>
          </w:p>
        </w:tc>
        <w:tc>
          <w:tcPr>
            <w:tcW w:w="661" w:type="dxa"/>
            <w:vMerge w:val="continue"/>
          </w:tcPr>
          <w:p>
            <w:pPr>
              <w:pStyle w:val="13"/>
              <w:spacing w:line="0" w:lineRule="atLeast"/>
              <w:jc w:val="center"/>
              <w:rPr>
                <w:sz w:val="18"/>
                <w:szCs w:val="18"/>
              </w:rPr>
            </w:pPr>
          </w:p>
        </w:tc>
        <w:tc>
          <w:tcPr>
            <w:tcW w:w="640" w:type="dxa"/>
            <w:vMerge w:val="continue"/>
          </w:tcPr>
          <w:p>
            <w:pPr>
              <w:pStyle w:val="13"/>
              <w:spacing w:line="0" w:lineRule="atLeast"/>
              <w:jc w:val="center"/>
              <w:rPr>
                <w:sz w:val="18"/>
                <w:szCs w:val="18"/>
              </w:rPr>
            </w:pPr>
          </w:p>
        </w:tc>
        <w:tc>
          <w:tcPr>
            <w:tcW w:w="487" w:type="dxa"/>
            <w:vMerge w:val="continue"/>
            <w:vAlign w:val="center"/>
          </w:tcPr>
          <w:p>
            <w:pPr>
              <w:pStyle w:val="13"/>
              <w:spacing w:line="0" w:lineRule="atLeast"/>
              <w:jc w:val="center"/>
              <w:rPr>
                <w:sz w:val="18"/>
                <w:szCs w:val="18"/>
              </w:rPr>
            </w:pPr>
          </w:p>
        </w:tc>
        <w:tc>
          <w:tcPr>
            <w:tcW w:w="695" w:type="dxa"/>
            <w:vAlign w:val="center"/>
          </w:tcPr>
          <w:p>
            <w:pPr>
              <w:pStyle w:val="13"/>
              <w:spacing w:line="0" w:lineRule="atLeast"/>
              <w:jc w:val="center"/>
              <w:rPr>
                <w:sz w:val="18"/>
                <w:szCs w:val="18"/>
              </w:rPr>
            </w:pPr>
            <w:r>
              <w:rPr>
                <w:sz w:val="18"/>
                <w:szCs w:val="18"/>
              </w:rPr>
              <w:t>计算指标用地面积（㎡）</w:t>
            </w:r>
          </w:p>
        </w:tc>
        <w:tc>
          <w:tcPr>
            <w:tcW w:w="755" w:type="dxa"/>
            <w:vAlign w:val="center"/>
          </w:tcPr>
          <w:p>
            <w:pPr>
              <w:pStyle w:val="13"/>
              <w:spacing w:line="0" w:lineRule="atLeast"/>
              <w:jc w:val="center"/>
              <w:rPr>
                <w:sz w:val="18"/>
                <w:szCs w:val="18"/>
              </w:rPr>
            </w:pPr>
            <w:r>
              <w:rPr>
                <w:sz w:val="18"/>
                <w:szCs w:val="18"/>
              </w:rPr>
              <w:t>容积率R</w:t>
            </w:r>
          </w:p>
        </w:tc>
        <w:tc>
          <w:tcPr>
            <w:tcW w:w="1000" w:type="dxa"/>
            <w:vAlign w:val="center"/>
          </w:tcPr>
          <w:p>
            <w:pPr>
              <w:pStyle w:val="13"/>
              <w:spacing w:line="0" w:lineRule="atLeast"/>
              <w:jc w:val="center"/>
              <w:rPr>
                <w:sz w:val="18"/>
                <w:szCs w:val="18"/>
              </w:rPr>
            </w:pPr>
            <w:r>
              <w:rPr>
                <w:sz w:val="18"/>
                <w:szCs w:val="18"/>
              </w:rPr>
              <w:t>计容建筑面积S（㎡）</w:t>
            </w:r>
          </w:p>
        </w:tc>
        <w:tc>
          <w:tcPr>
            <w:tcW w:w="559" w:type="dxa"/>
            <w:vAlign w:val="center"/>
          </w:tcPr>
          <w:p>
            <w:pPr>
              <w:pStyle w:val="13"/>
              <w:spacing w:line="0" w:lineRule="atLeast"/>
              <w:jc w:val="center"/>
              <w:rPr>
                <w:sz w:val="18"/>
                <w:szCs w:val="18"/>
              </w:rPr>
            </w:pPr>
            <w:r>
              <w:rPr>
                <w:sz w:val="18"/>
                <w:szCs w:val="18"/>
              </w:rPr>
              <w:t>建筑系数（%）</w:t>
            </w:r>
          </w:p>
        </w:tc>
        <w:tc>
          <w:tcPr>
            <w:tcW w:w="747" w:type="dxa"/>
            <w:vAlign w:val="center"/>
          </w:tcPr>
          <w:p>
            <w:pPr>
              <w:pStyle w:val="13"/>
              <w:spacing w:line="0" w:lineRule="atLeast"/>
              <w:jc w:val="center"/>
              <w:rPr>
                <w:sz w:val="18"/>
                <w:szCs w:val="18"/>
              </w:rPr>
            </w:pPr>
            <w:r>
              <w:rPr>
                <w:sz w:val="18"/>
                <w:szCs w:val="18"/>
              </w:rPr>
              <w:t>绿地率（%）</w:t>
            </w:r>
          </w:p>
        </w:tc>
        <w:tc>
          <w:tcPr>
            <w:tcW w:w="854" w:type="dxa"/>
            <w:vAlign w:val="center"/>
          </w:tcPr>
          <w:p>
            <w:pPr>
              <w:pStyle w:val="13"/>
              <w:spacing w:line="0" w:lineRule="atLeast"/>
              <w:jc w:val="center"/>
              <w:rPr>
                <w:sz w:val="18"/>
                <w:szCs w:val="18"/>
              </w:rPr>
            </w:pPr>
            <w:r>
              <w:rPr>
                <w:sz w:val="18"/>
                <w:szCs w:val="18"/>
              </w:rPr>
              <w:t>机动车停车位配建要求</w:t>
            </w:r>
          </w:p>
        </w:tc>
        <w:tc>
          <w:tcPr>
            <w:tcW w:w="714" w:type="dxa"/>
            <w:vMerge w:val="continue"/>
          </w:tcPr>
          <w:p>
            <w:pPr>
              <w:pStyle w:val="13"/>
              <w:spacing w:line="0" w:lineRule="atLeast"/>
              <w:jc w:val="center"/>
              <w:rPr>
                <w:sz w:val="18"/>
                <w:szCs w:val="18"/>
              </w:rPr>
            </w:pPr>
          </w:p>
        </w:tc>
        <w:tc>
          <w:tcPr>
            <w:tcW w:w="714" w:type="dxa"/>
            <w:vMerge w:val="continue"/>
          </w:tcPr>
          <w:p>
            <w:pPr>
              <w:pStyle w:val="13"/>
              <w:spacing w:line="0" w:lineRule="atLeast"/>
              <w:jc w:val="center"/>
              <w:rPr>
                <w:sz w:val="18"/>
                <w:szCs w:val="18"/>
              </w:rPr>
            </w:pPr>
          </w:p>
        </w:tc>
        <w:tc>
          <w:tcPr>
            <w:tcW w:w="743" w:type="dxa"/>
            <w:vMerge w:val="continue"/>
          </w:tcPr>
          <w:p>
            <w:pPr>
              <w:pStyle w:val="13"/>
              <w:spacing w:line="0" w:lineRule="atLeast"/>
              <w:jc w:val="center"/>
              <w:rPr>
                <w:sz w:val="18"/>
                <w:szCs w:val="18"/>
              </w:rPr>
            </w:pPr>
          </w:p>
        </w:tc>
        <w:tc>
          <w:tcPr>
            <w:tcW w:w="670" w:type="dxa"/>
            <w:vMerge w:val="continue"/>
          </w:tcPr>
          <w:p>
            <w:pPr>
              <w:pStyle w:val="13"/>
              <w:spacing w:line="0" w:lineRule="atLeast"/>
              <w:jc w:val="center"/>
              <w:rPr>
                <w:sz w:val="18"/>
                <w:szCs w:val="18"/>
              </w:rPr>
            </w:pPr>
          </w:p>
        </w:tc>
        <w:tc>
          <w:tcPr>
            <w:tcW w:w="772" w:type="dxa"/>
            <w:vMerge w:val="continue"/>
          </w:tcPr>
          <w:p>
            <w:pPr>
              <w:pStyle w:val="13"/>
              <w:spacing w:line="0" w:lineRule="atLeast"/>
              <w:jc w:val="center"/>
              <w:rPr>
                <w:sz w:val="18"/>
                <w:szCs w:val="18"/>
              </w:rPr>
            </w:pPr>
          </w:p>
        </w:tc>
        <w:tc>
          <w:tcPr>
            <w:tcW w:w="773" w:type="dxa"/>
            <w:vMerge w:val="continue"/>
          </w:tcPr>
          <w:p>
            <w:pPr>
              <w:pStyle w:val="13"/>
              <w:spacing w:line="0" w:lineRule="atLeast"/>
              <w:jc w:val="center"/>
              <w:rPr>
                <w:sz w:val="18"/>
                <w:szCs w:val="18"/>
              </w:rPr>
            </w:pPr>
          </w:p>
        </w:tc>
        <w:tc>
          <w:tcPr>
            <w:tcW w:w="1230" w:type="dxa"/>
            <w:vMerge w:val="continue"/>
          </w:tcPr>
          <w:p>
            <w:pPr>
              <w:pStyle w:val="13"/>
              <w:spacing w:line="0" w:lineRule="atLeast"/>
              <w:jc w:val="center"/>
              <w:rPr>
                <w:sz w:val="18"/>
                <w:szCs w:val="18"/>
              </w:rPr>
            </w:pPr>
          </w:p>
        </w:tc>
        <w:tc>
          <w:tcPr>
            <w:tcW w:w="1095" w:type="dxa"/>
            <w:vMerge w:val="continue"/>
          </w:tcPr>
          <w:p>
            <w:pPr>
              <w:pStyle w:val="13"/>
              <w:spacing w:line="0" w:lineRule="atLeast"/>
              <w:jc w:val="center"/>
              <w:rPr>
                <w:sz w:val="18"/>
                <w:szCs w:val="18"/>
              </w:rPr>
            </w:pPr>
          </w:p>
        </w:tc>
        <w:tc>
          <w:tcPr>
            <w:tcW w:w="1095" w:type="dxa"/>
            <w:vMerge w:val="continue"/>
          </w:tcPr>
          <w:p>
            <w:pPr>
              <w:pStyle w:val="13"/>
              <w:spacing w:line="0" w:lineRule="atLeas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17" w:type="dxa"/>
            <w:vAlign w:val="center"/>
          </w:tcPr>
          <w:p>
            <w:pPr>
              <w:pStyle w:val="13"/>
              <w:spacing w:line="0" w:lineRule="atLeast"/>
              <w:jc w:val="center"/>
              <w:rPr>
                <w:rFonts w:ascii="Times New Roman" w:hAnsi="Times New Roman" w:eastAsia="宋体" w:cs="Times New Roman"/>
                <w:color w:val="auto"/>
                <w:kern w:val="2"/>
                <w:sz w:val="18"/>
                <w:szCs w:val="18"/>
                <w:lang w:val="en-US" w:eastAsia="zh-CN" w:bidi="ar-SA"/>
              </w:rPr>
            </w:pPr>
            <w:r>
              <w:rPr>
                <w:rFonts w:hint="default" w:ascii="Times New Roman" w:hAnsi="Times New Roman" w:cs="Times New Roman"/>
                <w:sz w:val="18"/>
                <w:szCs w:val="18"/>
              </w:rPr>
              <w:t>惠仲土（用地）挂[2023]0</w:t>
            </w:r>
            <w:r>
              <w:rPr>
                <w:rFonts w:hint="eastAsia" w:cs="Times New Roman"/>
                <w:sz w:val="18"/>
                <w:szCs w:val="18"/>
                <w:lang w:val="en-US" w:eastAsia="zh-CN"/>
              </w:rPr>
              <w:t>41</w:t>
            </w:r>
            <w:r>
              <w:rPr>
                <w:rFonts w:hint="default" w:ascii="Times New Roman" w:hAnsi="Times New Roman" w:cs="Times New Roman"/>
                <w:sz w:val="18"/>
                <w:szCs w:val="18"/>
              </w:rPr>
              <w:t>号</w:t>
            </w:r>
          </w:p>
        </w:tc>
        <w:tc>
          <w:tcPr>
            <w:tcW w:w="709" w:type="dxa"/>
            <w:vAlign w:val="center"/>
          </w:tcPr>
          <w:p>
            <w:pPr>
              <w:pStyle w:val="13"/>
              <w:spacing w:line="0" w:lineRule="atLeast"/>
              <w:jc w:val="center"/>
              <w:rPr>
                <w:rFonts w:ascii="Times New Roman" w:hAnsi="Times New Roman" w:eastAsia="宋体" w:cs="Times New Roman"/>
                <w:color w:val="auto"/>
                <w:kern w:val="2"/>
                <w:sz w:val="18"/>
                <w:szCs w:val="18"/>
                <w:lang w:val="en-US" w:eastAsia="zh-CN" w:bidi="ar-SA"/>
              </w:rPr>
            </w:pPr>
            <w:r>
              <w:rPr>
                <w:rFonts w:hint="eastAsia"/>
                <w:sz w:val="18"/>
                <w:szCs w:val="18"/>
              </w:rPr>
              <w:t>惠州仲恺高新区357创新产业带青春片区</w:t>
            </w:r>
          </w:p>
        </w:tc>
        <w:tc>
          <w:tcPr>
            <w:tcW w:w="661"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eastAsia"/>
                <w:sz w:val="18"/>
                <w:szCs w:val="18"/>
              </w:rPr>
              <w:t>ZKQC-01-01</w:t>
            </w:r>
          </w:p>
        </w:tc>
        <w:tc>
          <w:tcPr>
            <w:tcW w:w="640" w:type="dxa"/>
            <w:vAlign w:val="center"/>
          </w:tcPr>
          <w:p>
            <w:pPr>
              <w:pStyle w:val="13"/>
              <w:spacing w:line="0" w:lineRule="atLeast"/>
              <w:jc w:val="center"/>
              <w:rPr>
                <w:rFonts w:ascii="Times New Roman" w:hAnsi="Times New Roman" w:eastAsia="宋体" w:cs="Times New Roman"/>
                <w:kern w:val="0"/>
                <w:sz w:val="18"/>
                <w:szCs w:val="18"/>
                <w:lang w:val="en-US" w:eastAsia="zh-CN" w:bidi="ar-SA"/>
              </w:rPr>
            </w:pPr>
            <w:r>
              <w:rPr>
                <w:rFonts w:hint="eastAsia" w:cs="Times New Roman"/>
                <w:color w:val="auto"/>
                <w:kern w:val="0"/>
                <w:sz w:val="18"/>
                <w:szCs w:val="18"/>
                <w:highlight w:val="none"/>
                <w:lang w:val="en-US" w:eastAsia="zh-CN"/>
              </w:rPr>
              <w:t>1293</w:t>
            </w:r>
            <w:r>
              <w:rPr>
                <w:rFonts w:hint="eastAsia" w:eastAsia="宋体" w:cs="Times New Roman"/>
                <w:color w:val="auto"/>
                <w:kern w:val="0"/>
                <w:sz w:val="18"/>
                <w:szCs w:val="18"/>
                <w:highlight w:val="none"/>
                <w:lang w:val="en-US" w:eastAsia="zh-CN"/>
              </w:rPr>
              <w:t>（其中使用权面积</w:t>
            </w:r>
            <w:r>
              <w:rPr>
                <w:rFonts w:hint="eastAsia" w:cs="Times New Roman"/>
                <w:color w:val="auto"/>
                <w:kern w:val="0"/>
                <w:sz w:val="18"/>
                <w:szCs w:val="18"/>
                <w:highlight w:val="none"/>
                <w:lang w:val="en-US" w:eastAsia="zh-CN"/>
              </w:rPr>
              <w:t>212</w:t>
            </w:r>
            <w:r>
              <w:rPr>
                <w:rFonts w:hint="eastAsia" w:eastAsia="宋体" w:cs="Times New Roman"/>
                <w:color w:val="auto"/>
                <w:kern w:val="0"/>
                <w:sz w:val="18"/>
                <w:szCs w:val="18"/>
                <w:highlight w:val="none"/>
                <w:lang w:val="en-US" w:eastAsia="zh-CN"/>
              </w:rPr>
              <w:t>㎡）</w:t>
            </w:r>
          </w:p>
        </w:tc>
        <w:tc>
          <w:tcPr>
            <w:tcW w:w="487" w:type="dxa"/>
            <w:vAlign w:val="center"/>
          </w:tcPr>
          <w:p>
            <w:pPr>
              <w:pStyle w:val="13"/>
              <w:spacing w:line="0" w:lineRule="atLeast"/>
              <w:jc w:val="center"/>
              <w:rPr>
                <w:rFonts w:ascii="Times New Roman" w:hAnsi="Times New Roman" w:eastAsia="宋体" w:cs="Times New Roman"/>
                <w:kern w:val="0"/>
                <w:sz w:val="18"/>
                <w:szCs w:val="18"/>
                <w:lang w:val="en-US" w:eastAsia="zh-CN" w:bidi="ar-SA"/>
              </w:rPr>
            </w:pPr>
            <w:r>
              <w:rPr>
                <w:rFonts w:hint="eastAsia" w:eastAsia="宋体" w:cs="Times New Roman"/>
                <w:color w:val="auto"/>
                <w:kern w:val="0"/>
                <w:sz w:val="18"/>
                <w:szCs w:val="18"/>
                <w:highlight w:val="none"/>
                <w:lang w:val="en-US" w:eastAsia="zh-CN"/>
              </w:rPr>
              <w:t>工业用地</w:t>
            </w:r>
          </w:p>
        </w:tc>
        <w:tc>
          <w:tcPr>
            <w:tcW w:w="695"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eastAsia" w:cs="Times New Roman"/>
                <w:color w:val="auto"/>
                <w:kern w:val="0"/>
                <w:sz w:val="18"/>
                <w:szCs w:val="18"/>
                <w:highlight w:val="none"/>
                <w:lang w:val="en-US" w:eastAsia="zh-CN"/>
              </w:rPr>
              <w:t>1293</w:t>
            </w:r>
          </w:p>
        </w:tc>
        <w:tc>
          <w:tcPr>
            <w:tcW w:w="755" w:type="dxa"/>
            <w:vAlign w:val="center"/>
          </w:tcPr>
          <w:p>
            <w:pPr>
              <w:pStyle w:val="13"/>
              <w:spacing w:line="0" w:lineRule="atLeast"/>
              <w:jc w:val="center"/>
              <w:rPr>
                <w:rFonts w:ascii="Times New Roman" w:hAnsi="Times New Roman" w:eastAsia="宋体" w:cs="Times New Roman"/>
                <w:kern w:val="0"/>
                <w:sz w:val="18"/>
                <w:szCs w:val="18"/>
                <w:lang w:val="en-US" w:eastAsia="zh-CN" w:bidi="ar-SA"/>
              </w:rPr>
            </w:pPr>
            <w:r>
              <w:rPr>
                <w:rFonts w:hint="eastAsia" w:cs="Times New Roman"/>
                <w:color w:val="auto"/>
                <w:kern w:val="0"/>
                <w:sz w:val="18"/>
                <w:szCs w:val="18"/>
                <w:highlight w:val="none"/>
                <w:lang w:val="en-US" w:eastAsia="zh-CN"/>
              </w:rPr>
              <w:t>2.0</w:t>
            </w:r>
            <w:r>
              <w:rPr>
                <w:rFonts w:hint="default" w:eastAsia="宋体" w:cs="Times New Roman"/>
                <w:color w:val="auto"/>
                <w:kern w:val="0"/>
                <w:sz w:val="18"/>
                <w:szCs w:val="18"/>
                <w:highlight w:val="none"/>
                <w:lang w:val="en-US" w:eastAsia="zh-CN"/>
              </w:rPr>
              <w:t>≤R≤</w:t>
            </w:r>
            <w:r>
              <w:rPr>
                <w:rFonts w:hint="eastAsia" w:cs="Times New Roman"/>
                <w:color w:val="auto"/>
                <w:kern w:val="0"/>
                <w:sz w:val="18"/>
                <w:szCs w:val="18"/>
                <w:highlight w:val="none"/>
                <w:lang w:val="en-US" w:eastAsia="zh-CN"/>
              </w:rPr>
              <w:t>3.0</w:t>
            </w:r>
          </w:p>
        </w:tc>
        <w:tc>
          <w:tcPr>
            <w:tcW w:w="1000" w:type="dxa"/>
            <w:vAlign w:val="center"/>
          </w:tcPr>
          <w:p>
            <w:pPr>
              <w:pStyle w:val="13"/>
              <w:spacing w:line="0" w:lineRule="atLeast"/>
              <w:jc w:val="center"/>
              <w:rPr>
                <w:rFonts w:ascii="Times New Roman" w:hAnsi="Times New Roman" w:eastAsia="宋体" w:cs="Times New Roman"/>
                <w:kern w:val="0"/>
                <w:sz w:val="18"/>
                <w:szCs w:val="18"/>
                <w:lang w:val="en-US" w:eastAsia="zh-CN" w:bidi="ar-SA"/>
              </w:rPr>
            </w:pPr>
            <w:r>
              <w:rPr>
                <w:rFonts w:hint="eastAsia" w:cs="Times New Roman"/>
                <w:color w:val="auto"/>
                <w:kern w:val="0"/>
                <w:sz w:val="18"/>
                <w:szCs w:val="18"/>
                <w:highlight w:val="none"/>
                <w:lang w:val="en-US" w:eastAsia="zh-CN"/>
              </w:rPr>
              <w:t>2586</w:t>
            </w:r>
            <w:r>
              <w:rPr>
                <w:rFonts w:hint="default" w:eastAsia="宋体" w:cs="Times New Roman"/>
                <w:color w:val="auto"/>
                <w:kern w:val="0"/>
                <w:sz w:val="18"/>
                <w:szCs w:val="18"/>
                <w:highlight w:val="none"/>
                <w:lang w:val="en-US" w:eastAsia="zh-CN"/>
              </w:rPr>
              <w:t>≤S≤</w:t>
            </w:r>
            <w:r>
              <w:rPr>
                <w:rFonts w:hint="eastAsia" w:cs="Times New Roman"/>
                <w:color w:val="auto"/>
                <w:kern w:val="0"/>
                <w:sz w:val="18"/>
                <w:szCs w:val="18"/>
                <w:highlight w:val="none"/>
                <w:lang w:val="en-US" w:eastAsia="zh-CN"/>
              </w:rPr>
              <w:t>3879</w:t>
            </w:r>
          </w:p>
        </w:tc>
        <w:tc>
          <w:tcPr>
            <w:tcW w:w="559" w:type="dxa"/>
            <w:vAlign w:val="center"/>
          </w:tcPr>
          <w:p>
            <w:pPr>
              <w:pStyle w:val="13"/>
              <w:spacing w:line="0" w:lineRule="atLeast"/>
              <w:jc w:val="center"/>
              <w:rPr>
                <w:rFonts w:ascii="Times New Roman" w:hAnsi="Times New Roman" w:eastAsia="宋体" w:cs="Times New Roman"/>
                <w:kern w:val="0"/>
                <w:sz w:val="18"/>
                <w:szCs w:val="18"/>
                <w:lang w:val="en-US" w:eastAsia="zh-CN" w:bidi="ar-SA"/>
              </w:rPr>
            </w:pPr>
            <w:r>
              <w:rPr>
                <w:rFonts w:hint="default" w:eastAsia="宋体" w:cs="Times New Roman"/>
                <w:color w:val="auto"/>
                <w:kern w:val="0"/>
                <w:sz w:val="18"/>
                <w:szCs w:val="18"/>
                <w:highlight w:val="none"/>
                <w:lang w:val="en-US" w:eastAsia="zh-CN"/>
              </w:rPr>
              <w:t>≥3</w:t>
            </w:r>
            <w:r>
              <w:rPr>
                <w:rFonts w:hint="eastAsia" w:cs="Times New Roman"/>
                <w:color w:val="auto"/>
                <w:kern w:val="0"/>
                <w:sz w:val="18"/>
                <w:szCs w:val="18"/>
                <w:highlight w:val="none"/>
                <w:lang w:val="en-US" w:eastAsia="zh-CN"/>
              </w:rPr>
              <w:t>5</w:t>
            </w:r>
          </w:p>
        </w:tc>
        <w:tc>
          <w:tcPr>
            <w:tcW w:w="747" w:type="dxa"/>
            <w:vAlign w:val="center"/>
          </w:tcPr>
          <w:p>
            <w:pPr>
              <w:pStyle w:val="13"/>
              <w:spacing w:line="0" w:lineRule="atLeast"/>
              <w:jc w:val="center"/>
              <w:rPr>
                <w:rFonts w:ascii="Times New Roman" w:hAnsi="Times New Roman" w:eastAsia="宋体" w:cs="Times New Roman"/>
                <w:kern w:val="0"/>
                <w:sz w:val="18"/>
                <w:szCs w:val="18"/>
                <w:lang w:val="en-US" w:eastAsia="zh-CN" w:bidi="ar-SA"/>
              </w:rPr>
            </w:pPr>
            <w:r>
              <w:rPr>
                <w:rFonts w:hint="default" w:eastAsia="宋体" w:cs="Times New Roman"/>
                <w:color w:val="auto"/>
                <w:kern w:val="0"/>
                <w:sz w:val="18"/>
                <w:szCs w:val="18"/>
                <w:highlight w:val="none"/>
                <w:lang w:val="en-US" w:eastAsia="zh-CN"/>
              </w:rPr>
              <w:t>15≤绿地率≤20</w:t>
            </w:r>
          </w:p>
        </w:tc>
        <w:tc>
          <w:tcPr>
            <w:tcW w:w="854" w:type="dxa"/>
            <w:vAlign w:val="center"/>
          </w:tcPr>
          <w:p>
            <w:pPr>
              <w:pStyle w:val="13"/>
              <w:spacing w:line="0" w:lineRule="atLeast"/>
              <w:jc w:val="center"/>
              <w:rPr>
                <w:rFonts w:ascii="Times New Roman" w:hAnsi="Times New Roman" w:eastAsia="宋体" w:cs="Times New Roman"/>
                <w:kern w:val="0"/>
                <w:sz w:val="18"/>
                <w:szCs w:val="18"/>
                <w:lang w:val="en-US" w:eastAsia="zh-CN" w:bidi="ar-SA"/>
              </w:rPr>
            </w:pPr>
            <w:r>
              <w:rPr>
                <w:rFonts w:hint="eastAsia" w:eastAsia="宋体" w:cs="Times New Roman"/>
                <w:color w:val="auto"/>
                <w:kern w:val="0"/>
                <w:sz w:val="18"/>
                <w:szCs w:val="18"/>
                <w:highlight w:val="none"/>
                <w:lang w:val="en-US" w:eastAsia="zh-CN"/>
              </w:rPr>
              <w:t>按</w:t>
            </w:r>
            <w:r>
              <w:rPr>
                <w:rFonts w:hint="default" w:eastAsia="宋体" w:cs="Times New Roman"/>
                <w:color w:val="auto"/>
                <w:kern w:val="0"/>
                <w:sz w:val="18"/>
                <w:szCs w:val="18"/>
                <w:highlight w:val="none"/>
                <w:lang w:val="en-US" w:eastAsia="zh-CN"/>
              </w:rPr>
              <w:t>《规划设计条件告知书》要求配建</w:t>
            </w:r>
          </w:p>
        </w:tc>
        <w:tc>
          <w:tcPr>
            <w:tcW w:w="714" w:type="dxa"/>
            <w:vAlign w:val="center"/>
          </w:tcPr>
          <w:p>
            <w:pPr>
              <w:pStyle w:val="13"/>
              <w:spacing w:line="0" w:lineRule="atLeast"/>
              <w:jc w:val="center"/>
              <w:rPr>
                <w:rFonts w:ascii="Times New Roman" w:hAnsi="Times New Roman" w:eastAsia="宋体" w:cs="Times New Roman"/>
                <w:kern w:val="0"/>
                <w:sz w:val="18"/>
                <w:szCs w:val="18"/>
                <w:lang w:val="en-US" w:eastAsia="zh-CN" w:bidi="ar-SA"/>
              </w:rPr>
            </w:pPr>
            <w:r>
              <w:rPr>
                <w:rFonts w:hint="eastAsia" w:eastAsia="宋体" w:cs="Times New Roman"/>
                <w:color w:val="auto"/>
                <w:kern w:val="0"/>
                <w:sz w:val="18"/>
                <w:szCs w:val="18"/>
                <w:highlight w:val="none"/>
                <w:lang w:val="en-US" w:eastAsia="zh-CN"/>
              </w:rPr>
              <w:t>50</w:t>
            </w:r>
          </w:p>
        </w:tc>
        <w:tc>
          <w:tcPr>
            <w:tcW w:w="714"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eastAsia" w:cs="Times New Roman"/>
                <w:color w:val="auto"/>
                <w:kern w:val="0"/>
                <w:sz w:val="18"/>
                <w:szCs w:val="18"/>
                <w:highlight w:val="none"/>
                <w:lang w:val="en-US" w:eastAsia="zh-CN"/>
              </w:rPr>
              <w:t>140</w:t>
            </w:r>
          </w:p>
        </w:tc>
        <w:tc>
          <w:tcPr>
            <w:tcW w:w="743"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eastAsia" w:cs="Times New Roman"/>
                <w:color w:val="auto"/>
                <w:kern w:val="0"/>
                <w:sz w:val="18"/>
                <w:szCs w:val="18"/>
                <w:highlight w:val="none"/>
                <w:lang w:val="en-US" w:eastAsia="zh-CN"/>
              </w:rPr>
              <w:t>10</w:t>
            </w:r>
          </w:p>
        </w:tc>
        <w:tc>
          <w:tcPr>
            <w:tcW w:w="670"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eastAsia" w:cs="Times New Roman"/>
                <w:color w:val="auto"/>
                <w:kern w:val="0"/>
                <w:sz w:val="18"/>
                <w:szCs w:val="18"/>
                <w:highlight w:val="none"/>
                <w:lang w:val="en-US" w:eastAsia="zh-CN"/>
              </w:rPr>
              <w:t>28</w:t>
            </w:r>
          </w:p>
        </w:tc>
        <w:tc>
          <w:tcPr>
            <w:tcW w:w="772" w:type="dxa"/>
            <w:vAlign w:val="center"/>
          </w:tcPr>
          <w:p>
            <w:pPr>
              <w:pStyle w:val="13"/>
              <w:spacing w:line="0" w:lineRule="atLeast"/>
              <w:jc w:val="center"/>
              <w:rPr>
                <w:rFonts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2023年</w:t>
            </w:r>
            <w:r>
              <w:rPr>
                <w:rFonts w:hint="eastAsia" w:cs="Times New Roman"/>
                <w:sz w:val="18"/>
                <w:szCs w:val="18"/>
                <w:lang w:val="en-US" w:eastAsia="zh-CN"/>
              </w:rPr>
              <w:t>7</w:t>
            </w:r>
            <w:r>
              <w:rPr>
                <w:rFonts w:hint="default" w:ascii="Times New Roman" w:hAnsi="Times New Roman" w:cs="Times New Roman"/>
                <w:sz w:val="18"/>
                <w:szCs w:val="18"/>
              </w:rPr>
              <w:t>月</w:t>
            </w:r>
            <w:r>
              <w:rPr>
                <w:rFonts w:hint="eastAsia" w:cs="Times New Roman"/>
                <w:sz w:val="18"/>
                <w:szCs w:val="18"/>
                <w:lang w:val="en-US" w:eastAsia="zh-CN"/>
              </w:rPr>
              <w:t xml:space="preserve"> 4</w:t>
            </w:r>
            <w:r>
              <w:rPr>
                <w:rFonts w:hint="default" w:ascii="Times New Roman" w:hAnsi="Times New Roman" w:cs="Times New Roman"/>
                <w:sz w:val="18"/>
                <w:szCs w:val="18"/>
              </w:rPr>
              <w:t>日9时</w:t>
            </w:r>
          </w:p>
        </w:tc>
        <w:tc>
          <w:tcPr>
            <w:tcW w:w="773" w:type="dxa"/>
            <w:vAlign w:val="center"/>
          </w:tcPr>
          <w:p>
            <w:pPr>
              <w:pStyle w:val="13"/>
              <w:spacing w:line="0" w:lineRule="atLeast"/>
              <w:jc w:val="center"/>
              <w:rPr>
                <w:rFonts w:ascii="Times New Roman" w:hAnsi="Times New Roman" w:eastAsia="宋体" w:cs="Times New Roman"/>
                <w:kern w:val="0"/>
                <w:sz w:val="18"/>
                <w:szCs w:val="18"/>
                <w:lang w:val="en-US" w:eastAsia="zh-CN" w:bidi="ar-SA"/>
              </w:rPr>
            </w:pPr>
            <w:r>
              <w:rPr>
                <w:rFonts w:hint="default" w:eastAsia="宋体" w:cs="Times New Roman"/>
                <w:color w:val="auto"/>
                <w:kern w:val="0"/>
                <w:sz w:val="18"/>
                <w:szCs w:val="18"/>
                <w:highlight w:val="none"/>
                <w:lang w:val="en-US" w:eastAsia="zh-CN"/>
              </w:rPr>
              <w:t>≥1</w:t>
            </w:r>
            <w:r>
              <w:rPr>
                <w:rFonts w:hint="eastAsia" w:eastAsia="宋体" w:cs="Times New Roman"/>
                <w:color w:val="auto"/>
                <w:kern w:val="0"/>
                <w:sz w:val="18"/>
                <w:szCs w:val="18"/>
                <w:highlight w:val="none"/>
                <w:lang w:val="en-US" w:eastAsia="zh-CN"/>
              </w:rPr>
              <w:t>0</w:t>
            </w:r>
            <w:r>
              <w:rPr>
                <w:rFonts w:hint="eastAsia" w:cs="Times New Roman"/>
                <w:color w:val="auto"/>
                <w:kern w:val="0"/>
                <w:sz w:val="18"/>
                <w:szCs w:val="18"/>
                <w:highlight w:val="none"/>
                <w:lang w:val="en-US" w:eastAsia="zh-CN"/>
              </w:rPr>
              <w:t>513</w:t>
            </w:r>
            <w:r>
              <w:rPr>
                <w:rFonts w:hint="default" w:eastAsia="宋体" w:cs="Times New Roman"/>
                <w:color w:val="auto"/>
                <w:kern w:val="0"/>
                <w:sz w:val="18"/>
                <w:szCs w:val="18"/>
                <w:highlight w:val="none"/>
                <w:lang w:val="en-US" w:eastAsia="zh-CN"/>
              </w:rPr>
              <w:t xml:space="preserve"> 元/</w:t>
            </w:r>
            <w:r>
              <w:rPr>
                <w:rFonts w:hint="eastAsia" w:eastAsia="宋体" w:cs="Times New Roman"/>
                <w:color w:val="auto"/>
                <w:kern w:val="0"/>
                <w:sz w:val="18"/>
                <w:szCs w:val="18"/>
                <w:highlight w:val="none"/>
                <w:lang w:val="en-US" w:eastAsia="zh-CN"/>
              </w:rPr>
              <w:t>㎡</w:t>
            </w:r>
          </w:p>
        </w:tc>
        <w:tc>
          <w:tcPr>
            <w:tcW w:w="1230" w:type="dxa"/>
            <w:vAlign w:val="center"/>
          </w:tcPr>
          <w:p>
            <w:pPr>
              <w:pStyle w:val="13"/>
              <w:spacing w:line="0" w:lineRule="atLeast"/>
              <w:jc w:val="center"/>
              <w:rPr>
                <w:rFonts w:ascii="Times New Roman" w:hAnsi="Times New Roman" w:eastAsia="宋体" w:cs="Times New Roman"/>
                <w:kern w:val="0"/>
                <w:sz w:val="18"/>
                <w:szCs w:val="18"/>
                <w:lang w:val="en-US" w:eastAsia="zh-CN" w:bidi="ar-SA"/>
              </w:rPr>
            </w:pPr>
            <w:r>
              <w:rPr>
                <w:rFonts w:hint="eastAsia" w:ascii="Times New Roman" w:hAnsi="Times New Roman" w:eastAsia="宋体" w:cs="Times New Roman"/>
                <w:color w:val="auto"/>
                <w:kern w:val="0"/>
                <w:sz w:val="18"/>
                <w:szCs w:val="18"/>
                <w:highlight w:val="none"/>
                <w:lang w:val="en-US" w:eastAsia="zh-CN"/>
              </w:rPr>
              <w:t>开发区、产业集聚区配套公共服务平台建设与服务</w:t>
            </w:r>
          </w:p>
        </w:tc>
        <w:tc>
          <w:tcPr>
            <w:tcW w:w="1095" w:type="dxa"/>
            <w:vAlign w:val="center"/>
          </w:tcPr>
          <w:p>
            <w:pPr>
              <w:pStyle w:val="13"/>
              <w:spacing w:line="0" w:lineRule="atLeast"/>
              <w:jc w:val="center"/>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auto"/>
                <w:kern w:val="0"/>
                <w:sz w:val="18"/>
                <w:szCs w:val="18"/>
                <w:highlight w:val="none"/>
                <w:lang w:val="en-US" w:eastAsia="zh-CN"/>
              </w:rPr>
              <w:t>广东省仲恺高新区人工智能产业发展中心</w:t>
            </w:r>
          </w:p>
        </w:tc>
        <w:tc>
          <w:tcPr>
            <w:tcW w:w="1095" w:type="dxa"/>
            <w:vAlign w:val="center"/>
          </w:tcPr>
          <w:p>
            <w:pPr>
              <w:pStyle w:val="13"/>
              <w:spacing w:line="0" w:lineRule="atLeast"/>
              <w:jc w:val="center"/>
              <w:rPr>
                <w:rFonts w:ascii="Times New Roman" w:hAnsi="Times New Roman" w:eastAsia="宋体" w:cs="Times New Roman"/>
                <w:kern w:val="2"/>
                <w:sz w:val="18"/>
                <w:szCs w:val="18"/>
                <w:lang w:val="en-US" w:eastAsia="zh-CN" w:bidi="ar-SA"/>
              </w:rPr>
            </w:pPr>
            <w:r>
              <w:rPr>
                <w:kern w:val="0"/>
                <w:sz w:val="18"/>
                <w:szCs w:val="18"/>
              </w:rPr>
              <w:t>行政办公及生活服务配套设施用地面积不得超过总用地面积的</w:t>
            </w:r>
            <w:r>
              <w:rPr>
                <w:rFonts w:hint="eastAsia"/>
                <w:kern w:val="0"/>
                <w:sz w:val="18"/>
                <w:szCs w:val="18"/>
              </w:rPr>
              <w:t>7</w:t>
            </w:r>
            <w:r>
              <w:rPr>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17" w:type="dxa"/>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惠仲土（用地）挂[2023]0</w:t>
            </w:r>
            <w:r>
              <w:rPr>
                <w:rFonts w:hint="eastAsia" w:cs="Times New Roman"/>
                <w:sz w:val="18"/>
                <w:szCs w:val="18"/>
                <w:lang w:val="en-US" w:eastAsia="zh-CN"/>
              </w:rPr>
              <w:t>42</w:t>
            </w:r>
            <w:r>
              <w:rPr>
                <w:rFonts w:hint="default" w:ascii="Times New Roman" w:hAnsi="Times New Roman" w:cs="Times New Roman"/>
                <w:sz w:val="18"/>
                <w:szCs w:val="18"/>
              </w:rPr>
              <w:t>号</w:t>
            </w:r>
          </w:p>
        </w:tc>
        <w:tc>
          <w:tcPr>
            <w:tcW w:w="709"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eastAsia"/>
                <w:sz w:val="18"/>
                <w:szCs w:val="18"/>
              </w:rPr>
              <w:t>惠州仲恺高新区357创新产业带青春片区</w:t>
            </w:r>
          </w:p>
        </w:tc>
        <w:tc>
          <w:tcPr>
            <w:tcW w:w="661"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eastAsia"/>
                <w:sz w:val="18"/>
                <w:szCs w:val="18"/>
              </w:rPr>
              <w:t>ZKQC-01-0</w:t>
            </w:r>
            <w:r>
              <w:rPr>
                <w:rFonts w:hint="eastAsia"/>
                <w:sz w:val="18"/>
                <w:szCs w:val="18"/>
                <w:lang w:val="en-US" w:eastAsia="zh-CN"/>
              </w:rPr>
              <w:t>8</w:t>
            </w:r>
          </w:p>
        </w:tc>
        <w:tc>
          <w:tcPr>
            <w:tcW w:w="640" w:type="dxa"/>
            <w:vAlign w:val="center"/>
          </w:tcPr>
          <w:p>
            <w:pPr>
              <w:pStyle w:val="13"/>
              <w:spacing w:line="0" w:lineRule="atLeast"/>
              <w:jc w:val="center"/>
              <w:rPr>
                <w:rFonts w:hint="eastAsia" w:ascii="Times New Roman" w:hAnsi="Times New Roman" w:eastAsia="宋体" w:cs="Times New Roman"/>
                <w:kern w:val="0"/>
                <w:sz w:val="18"/>
                <w:szCs w:val="18"/>
                <w:lang w:val="en-US" w:eastAsia="zh-CN" w:bidi="ar-SA"/>
              </w:rPr>
            </w:pPr>
            <w:r>
              <w:rPr>
                <w:rFonts w:hint="eastAsia" w:eastAsia="宋体" w:cs="Times New Roman"/>
                <w:color w:val="auto"/>
                <w:kern w:val="0"/>
                <w:sz w:val="18"/>
                <w:szCs w:val="18"/>
                <w:highlight w:val="none"/>
                <w:lang w:val="en-US" w:eastAsia="zh-CN"/>
              </w:rPr>
              <w:t>45551（其中使用权面积为36074㎡</w:t>
            </w:r>
            <w:r>
              <w:rPr>
                <w:rFonts w:hint="default" w:eastAsia="宋体" w:cs="Times New Roman"/>
                <w:color w:val="auto"/>
                <w:kern w:val="0"/>
                <w:sz w:val="18"/>
                <w:szCs w:val="18"/>
                <w:highlight w:val="none"/>
                <w:lang w:val="en-US" w:eastAsia="zh-CN"/>
              </w:rPr>
              <w:t>）</w:t>
            </w:r>
          </w:p>
        </w:tc>
        <w:tc>
          <w:tcPr>
            <w:tcW w:w="487" w:type="dxa"/>
            <w:vAlign w:val="center"/>
          </w:tcPr>
          <w:p>
            <w:pPr>
              <w:pStyle w:val="13"/>
              <w:spacing w:line="0" w:lineRule="atLeast"/>
              <w:jc w:val="center"/>
              <w:rPr>
                <w:rFonts w:hint="default" w:ascii="Times New Roman" w:hAnsi="Times New Roman" w:eastAsia="宋体" w:cs="Times New Roman"/>
                <w:color w:val="auto"/>
                <w:kern w:val="0"/>
                <w:sz w:val="18"/>
                <w:szCs w:val="18"/>
                <w:highlight w:val="none"/>
                <w:lang w:val="en-US" w:eastAsia="zh-CN" w:bidi="ar-SA"/>
              </w:rPr>
            </w:pPr>
            <w:r>
              <w:rPr>
                <w:rFonts w:hint="eastAsia" w:eastAsia="宋体" w:cs="Times New Roman"/>
                <w:color w:val="auto"/>
                <w:kern w:val="0"/>
                <w:sz w:val="18"/>
                <w:szCs w:val="18"/>
                <w:highlight w:val="none"/>
                <w:lang w:val="en-US" w:eastAsia="zh-CN"/>
              </w:rPr>
              <w:t>物流仓储</w:t>
            </w:r>
            <w:r>
              <w:rPr>
                <w:rFonts w:hint="default" w:eastAsia="宋体" w:cs="Times New Roman"/>
                <w:color w:val="auto"/>
                <w:kern w:val="0"/>
                <w:sz w:val="18"/>
                <w:szCs w:val="18"/>
                <w:highlight w:val="none"/>
                <w:lang w:val="en-US" w:eastAsia="zh-CN"/>
              </w:rPr>
              <w:t>用地</w:t>
            </w:r>
          </w:p>
        </w:tc>
        <w:tc>
          <w:tcPr>
            <w:tcW w:w="695" w:type="dxa"/>
            <w:vAlign w:val="center"/>
          </w:tcPr>
          <w:p>
            <w:pPr>
              <w:pStyle w:val="13"/>
              <w:spacing w:line="0" w:lineRule="atLeast"/>
              <w:jc w:val="center"/>
              <w:rPr>
                <w:rFonts w:hint="eastAsia"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rPr>
              <w:t>45551</w:t>
            </w:r>
          </w:p>
        </w:tc>
        <w:tc>
          <w:tcPr>
            <w:tcW w:w="755" w:type="dxa"/>
            <w:vAlign w:val="center"/>
          </w:tcPr>
          <w:p>
            <w:pPr>
              <w:pStyle w:val="13"/>
              <w:spacing w:line="0" w:lineRule="atLeast"/>
              <w:jc w:val="center"/>
              <w:rPr>
                <w:rFonts w:hint="eastAsia" w:ascii="Times New Roman" w:hAnsi="Times New Roman" w:eastAsia="宋体" w:cs="Times New Roman"/>
                <w:color w:val="auto"/>
                <w:kern w:val="0"/>
                <w:sz w:val="18"/>
                <w:szCs w:val="18"/>
                <w:highlight w:val="none"/>
                <w:lang w:val="en-US" w:eastAsia="zh-CN" w:bidi="ar-SA"/>
              </w:rPr>
            </w:pPr>
            <w:r>
              <w:rPr>
                <w:rFonts w:hint="default" w:eastAsia="宋体" w:cs="Times New Roman"/>
                <w:color w:val="auto"/>
                <w:kern w:val="0"/>
                <w:sz w:val="18"/>
                <w:szCs w:val="18"/>
                <w:highlight w:val="none"/>
                <w:lang w:val="en-US" w:eastAsia="zh-CN"/>
              </w:rPr>
              <w:t>R</w:t>
            </w:r>
            <w:r>
              <w:rPr>
                <w:rFonts w:hint="eastAsia" w:eastAsia="宋体" w:cs="Times New Roman"/>
                <w:color w:val="auto"/>
                <w:kern w:val="0"/>
                <w:sz w:val="18"/>
                <w:szCs w:val="18"/>
                <w:highlight w:val="none"/>
                <w:lang w:val="en-US" w:eastAsia="zh-CN"/>
              </w:rPr>
              <w:t>≥1.2</w:t>
            </w:r>
          </w:p>
        </w:tc>
        <w:tc>
          <w:tcPr>
            <w:tcW w:w="1000" w:type="dxa"/>
            <w:vAlign w:val="center"/>
          </w:tcPr>
          <w:p>
            <w:pPr>
              <w:pStyle w:val="13"/>
              <w:spacing w:line="0" w:lineRule="atLeast"/>
              <w:jc w:val="center"/>
              <w:rPr>
                <w:rFonts w:hint="eastAsia" w:ascii="Times New Roman" w:hAnsi="Times New Roman" w:eastAsia="宋体" w:cs="Times New Roman"/>
                <w:color w:val="auto"/>
                <w:kern w:val="0"/>
                <w:sz w:val="18"/>
                <w:szCs w:val="18"/>
                <w:highlight w:val="none"/>
                <w:lang w:val="en-US" w:eastAsia="zh-CN" w:bidi="ar-SA"/>
              </w:rPr>
            </w:pPr>
            <w:r>
              <w:rPr>
                <w:rFonts w:hint="default" w:cs="Times New Roman"/>
                <w:color w:val="auto"/>
                <w:kern w:val="0"/>
                <w:sz w:val="18"/>
                <w:szCs w:val="18"/>
                <w:highlight w:val="none"/>
                <w:lang w:val="en-US" w:eastAsia="zh-CN"/>
              </w:rPr>
              <w:t>S</w:t>
            </w:r>
            <w:r>
              <w:rPr>
                <w:rFonts w:hint="eastAsia" w:cs="Times New Roman"/>
                <w:color w:val="auto"/>
                <w:kern w:val="0"/>
                <w:sz w:val="18"/>
                <w:szCs w:val="18"/>
                <w:highlight w:val="none"/>
                <w:lang w:val="en-US" w:eastAsia="zh-CN"/>
              </w:rPr>
              <w:t>≥54661</w:t>
            </w:r>
          </w:p>
        </w:tc>
        <w:tc>
          <w:tcPr>
            <w:tcW w:w="559"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default" w:eastAsia="宋体" w:cs="Times New Roman"/>
                <w:color w:val="auto"/>
                <w:kern w:val="0"/>
                <w:sz w:val="18"/>
                <w:szCs w:val="18"/>
                <w:highlight w:val="none"/>
                <w:lang w:val="en-US" w:eastAsia="zh-CN"/>
              </w:rPr>
              <w:t>≥3</w:t>
            </w:r>
            <w:r>
              <w:rPr>
                <w:rFonts w:hint="eastAsia" w:cs="Times New Roman"/>
                <w:color w:val="auto"/>
                <w:kern w:val="0"/>
                <w:sz w:val="18"/>
                <w:szCs w:val="18"/>
                <w:highlight w:val="none"/>
                <w:lang w:val="en-US" w:eastAsia="zh-CN"/>
              </w:rPr>
              <w:t>0</w:t>
            </w:r>
          </w:p>
        </w:tc>
        <w:tc>
          <w:tcPr>
            <w:tcW w:w="747"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default" w:eastAsia="宋体" w:cs="Times New Roman"/>
                <w:color w:val="auto"/>
                <w:kern w:val="0"/>
                <w:sz w:val="18"/>
                <w:szCs w:val="18"/>
                <w:highlight w:val="none"/>
                <w:lang w:val="en-US" w:eastAsia="zh-CN"/>
              </w:rPr>
              <w:t>绿地率≥20</w:t>
            </w:r>
          </w:p>
        </w:tc>
        <w:tc>
          <w:tcPr>
            <w:tcW w:w="854"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eastAsia" w:eastAsia="宋体" w:cs="Times New Roman"/>
                <w:color w:val="auto"/>
                <w:kern w:val="0"/>
                <w:sz w:val="18"/>
                <w:szCs w:val="18"/>
                <w:highlight w:val="none"/>
                <w:lang w:val="en-US" w:eastAsia="zh-CN"/>
              </w:rPr>
              <w:t>按</w:t>
            </w:r>
            <w:r>
              <w:rPr>
                <w:rFonts w:hint="default" w:eastAsia="宋体" w:cs="Times New Roman"/>
                <w:color w:val="auto"/>
                <w:kern w:val="0"/>
                <w:sz w:val="18"/>
                <w:szCs w:val="18"/>
                <w:highlight w:val="none"/>
                <w:lang w:val="en-US" w:eastAsia="zh-CN"/>
              </w:rPr>
              <w:t>《规划设计条件告知书》</w:t>
            </w:r>
            <w:r>
              <w:rPr>
                <w:rFonts w:hint="eastAsia" w:cs="Times New Roman"/>
                <w:color w:val="auto"/>
                <w:kern w:val="0"/>
                <w:sz w:val="18"/>
                <w:szCs w:val="18"/>
                <w:highlight w:val="none"/>
                <w:lang w:val="en-US" w:eastAsia="zh-CN"/>
              </w:rPr>
              <w:t>（草案）</w:t>
            </w:r>
            <w:r>
              <w:rPr>
                <w:rFonts w:hint="default" w:eastAsia="宋体" w:cs="Times New Roman"/>
                <w:color w:val="auto"/>
                <w:kern w:val="0"/>
                <w:sz w:val="18"/>
                <w:szCs w:val="18"/>
                <w:highlight w:val="none"/>
                <w:lang w:val="en-US" w:eastAsia="zh-CN"/>
              </w:rPr>
              <w:t>要求配建</w:t>
            </w:r>
          </w:p>
        </w:tc>
        <w:tc>
          <w:tcPr>
            <w:tcW w:w="714"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50</w:t>
            </w:r>
          </w:p>
        </w:tc>
        <w:tc>
          <w:tcPr>
            <w:tcW w:w="714" w:type="dxa"/>
            <w:vAlign w:val="center"/>
          </w:tcPr>
          <w:p>
            <w:pPr>
              <w:pStyle w:val="13"/>
              <w:spacing w:line="0" w:lineRule="atLeast"/>
              <w:jc w:val="center"/>
              <w:rPr>
                <w:rFonts w:hint="eastAsia"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rPr>
              <w:t>5257</w:t>
            </w:r>
          </w:p>
        </w:tc>
        <w:tc>
          <w:tcPr>
            <w:tcW w:w="743" w:type="dxa"/>
            <w:vAlign w:val="center"/>
          </w:tcPr>
          <w:p>
            <w:pPr>
              <w:pStyle w:val="13"/>
              <w:spacing w:line="0" w:lineRule="atLeast"/>
              <w:jc w:val="center"/>
              <w:rPr>
                <w:rFonts w:hint="eastAsia" w:ascii="Times New Roman" w:hAnsi="Times New Roman" w:eastAsia="宋体" w:cs="Times New Roman"/>
                <w:kern w:val="2"/>
                <w:sz w:val="18"/>
                <w:szCs w:val="18"/>
                <w:lang w:val="en-US" w:eastAsia="zh-CN" w:bidi="ar-SA"/>
              </w:rPr>
            </w:pPr>
            <w:r>
              <w:rPr>
                <w:rFonts w:hint="eastAsia" w:cs="Times New Roman"/>
                <w:sz w:val="18"/>
                <w:szCs w:val="18"/>
                <w:lang w:val="en-US" w:eastAsia="zh-CN"/>
              </w:rPr>
              <w:t>60</w:t>
            </w:r>
          </w:p>
        </w:tc>
        <w:tc>
          <w:tcPr>
            <w:tcW w:w="670" w:type="dxa"/>
            <w:vAlign w:val="center"/>
          </w:tcPr>
          <w:p>
            <w:pPr>
              <w:pStyle w:val="13"/>
              <w:spacing w:line="0" w:lineRule="atLeast"/>
              <w:jc w:val="center"/>
              <w:rPr>
                <w:rFonts w:hint="eastAsia"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rPr>
              <w:t>1052</w:t>
            </w:r>
          </w:p>
        </w:tc>
        <w:tc>
          <w:tcPr>
            <w:tcW w:w="772"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2023年</w:t>
            </w:r>
            <w:r>
              <w:rPr>
                <w:rFonts w:hint="eastAsia" w:cs="Times New Roman"/>
                <w:sz w:val="18"/>
                <w:szCs w:val="18"/>
                <w:lang w:val="en-US" w:eastAsia="zh-CN"/>
              </w:rPr>
              <w:t>7</w:t>
            </w:r>
            <w:r>
              <w:rPr>
                <w:rFonts w:hint="default" w:ascii="Times New Roman" w:hAnsi="Times New Roman" w:cs="Times New Roman"/>
                <w:sz w:val="18"/>
                <w:szCs w:val="18"/>
              </w:rPr>
              <w:t>月</w:t>
            </w:r>
            <w:r>
              <w:rPr>
                <w:rFonts w:hint="eastAsia" w:cs="Times New Roman"/>
                <w:sz w:val="18"/>
                <w:szCs w:val="18"/>
                <w:lang w:val="en-US" w:eastAsia="zh-CN"/>
              </w:rPr>
              <w:t xml:space="preserve"> 4</w:t>
            </w:r>
            <w:r>
              <w:rPr>
                <w:rFonts w:hint="default" w:ascii="Times New Roman" w:hAnsi="Times New Roman" w:cs="Times New Roman"/>
                <w:sz w:val="18"/>
                <w:szCs w:val="18"/>
              </w:rPr>
              <w:t>日9时</w:t>
            </w:r>
          </w:p>
        </w:tc>
        <w:tc>
          <w:tcPr>
            <w:tcW w:w="773"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default" w:eastAsia="宋体" w:cs="Times New Roman"/>
                <w:color w:val="auto"/>
                <w:kern w:val="0"/>
                <w:sz w:val="18"/>
                <w:szCs w:val="18"/>
                <w:highlight w:val="none"/>
                <w:lang w:val="en-US" w:eastAsia="zh-CN"/>
              </w:rPr>
              <w:t>≥1</w:t>
            </w:r>
            <w:r>
              <w:rPr>
                <w:rFonts w:hint="eastAsia" w:eastAsia="宋体" w:cs="Times New Roman"/>
                <w:color w:val="auto"/>
                <w:kern w:val="0"/>
                <w:sz w:val="18"/>
                <w:szCs w:val="18"/>
                <w:highlight w:val="none"/>
                <w:lang w:val="en-US" w:eastAsia="zh-CN"/>
              </w:rPr>
              <w:t>0</w:t>
            </w:r>
            <w:r>
              <w:rPr>
                <w:rFonts w:hint="eastAsia" w:cs="Times New Roman"/>
                <w:color w:val="auto"/>
                <w:kern w:val="0"/>
                <w:sz w:val="18"/>
                <w:szCs w:val="18"/>
                <w:highlight w:val="none"/>
                <w:lang w:val="en-US" w:eastAsia="zh-CN"/>
              </w:rPr>
              <w:t>000</w:t>
            </w:r>
            <w:r>
              <w:rPr>
                <w:rFonts w:hint="default" w:eastAsia="宋体" w:cs="Times New Roman"/>
                <w:color w:val="auto"/>
                <w:kern w:val="0"/>
                <w:sz w:val="18"/>
                <w:szCs w:val="18"/>
                <w:highlight w:val="none"/>
                <w:lang w:val="en-US" w:eastAsia="zh-CN"/>
              </w:rPr>
              <w:t xml:space="preserve"> 元/</w:t>
            </w:r>
            <w:r>
              <w:rPr>
                <w:rFonts w:hint="eastAsia" w:eastAsia="宋体" w:cs="Times New Roman"/>
                <w:color w:val="auto"/>
                <w:kern w:val="0"/>
                <w:sz w:val="18"/>
                <w:szCs w:val="18"/>
                <w:highlight w:val="none"/>
                <w:lang w:val="en-US" w:eastAsia="zh-CN"/>
              </w:rPr>
              <w:t>㎡</w:t>
            </w:r>
          </w:p>
        </w:tc>
        <w:tc>
          <w:tcPr>
            <w:tcW w:w="1230"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color w:val="auto"/>
                <w:kern w:val="0"/>
                <w:sz w:val="18"/>
                <w:szCs w:val="18"/>
                <w:highlight w:val="none"/>
                <w:lang w:val="en-US" w:eastAsia="zh-CN"/>
              </w:rPr>
              <w:t>现代供应链创新与应用</w:t>
            </w:r>
          </w:p>
        </w:tc>
        <w:tc>
          <w:tcPr>
            <w:tcW w:w="1095"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auto"/>
                <w:kern w:val="0"/>
                <w:sz w:val="18"/>
                <w:szCs w:val="18"/>
                <w:highlight w:val="none"/>
                <w:lang w:val="en-US" w:eastAsia="zh-CN"/>
              </w:rPr>
              <w:t>广东省仲恺高新区人工智能产业发展中心</w:t>
            </w:r>
          </w:p>
        </w:tc>
        <w:tc>
          <w:tcPr>
            <w:tcW w:w="1095"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rPr>
              <w:t>需配建5G通信基站</w:t>
            </w:r>
            <w:r>
              <w:rPr>
                <w:rFonts w:hint="eastAsia" w:cs="Times New Roman"/>
                <w:kern w:val="0"/>
                <w:sz w:val="18"/>
                <w:szCs w:val="18"/>
                <w:lang w:val="en-US" w:eastAsia="zh-CN"/>
              </w:rPr>
              <w:t>1</w:t>
            </w:r>
            <w:r>
              <w:rPr>
                <w:rFonts w:hint="default" w:ascii="Times New Roman" w:hAnsi="Times New Roman" w:cs="Times New Roman"/>
                <w:kern w:val="0"/>
                <w:sz w:val="18"/>
                <w:szCs w:val="18"/>
                <w:lang w:val="en-US" w:eastAsia="zh-CN"/>
              </w:rPr>
              <w:t>个，每处基站建筑面积≥35㎡。</w:t>
            </w:r>
            <w:r>
              <w:rPr>
                <w:kern w:val="0"/>
                <w:sz w:val="18"/>
                <w:szCs w:val="18"/>
              </w:rPr>
              <w:t>行政办公及生活服务配套设施用地面积不得超过总用地面积的</w:t>
            </w:r>
            <w:r>
              <w:rPr>
                <w:rFonts w:hint="eastAsia"/>
                <w:kern w:val="0"/>
                <w:sz w:val="18"/>
                <w:szCs w:val="18"/>
              </w:rPr>
              <w:t>7</w:t>
            </w:r>
            <w:r>
              <w:rPr>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17" w:type="dxa"/>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惠仲土（用地）挂[2023]0</w:t>
            </w:r>
            <w:r>
              <w:rPr>
                <w:rFonts w:hint="eastAsia" w:cs="Times New Roman"/>
                <w:sz w:val="18"/>
                <w:szCs w:val="18"/>
                <w:lang w:val="en-US" w:eastAsia="zh-CN"/>
              </w:rPr>
              <w:t>43</w:t>
            </w:r>
            <w:r>
              <w:rPr>
                <w:rFonts w:hint="default" w:ascii="Times New Roman" w:hAnsi="Times New Roman" w:cs="Times New Roman"/>
                <w:sz w:val="18"/>
                <w:szCs w:val="18"/>
              </w:rPr>
              <w:t>号</w:t>
            </w:r>
          </w:p>
        </w:tc>
        <w:tc>
          <w:tcPr>
            <w:tcW w:w="709"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eastAsia"/>
                <w:sz w:val="18"/>
                <w:szCs w:val="18"/>
                <w:lang w:val="en-US" w:eastAsia="zh-CN"/>
              </w:rPr>
              <w:t>惠州仲恺高新区潼湖生态智慧区国际合作产业园西区</w:t>
            </w:r>
          </w:p>
        </w:tc>
        <w:tc>
          <w:tcPr>
            <w:tcW w:w="661"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eastAsia"/>
                <w:sz w:val="18"/>
                <w:szCs w:val="18"/>
                <w:lang w:val="en-US" w:eastAsia="zh-CN"/>
              </w:rPr>
              <w:t>ZKD-007-21-04</w:t>
            </w:r>
          </w:p>
        </w:tc>
        <w:tc>
          <w:tcPr>
            <w:tcW w:w="640" w:type="dxa"/>
            <w:vAlign w:val="center"/>
          </w:tcPr>
          <w:p>
            <w:pPr>
              <w:pStyle w:val="13"/>
              <w:spacing w:line="0" w:lineRule="atLeast"/>
              <w:jc w:val="center"/>
              <w:rPr>
                <w:rFonts w:hint="eastAsia" w:ascii="Times New Roman" w:hAnsi="Times New Roman" w:eastAsia="宋体" w:cs="Times New Roman"/>
                <w:kern w:val="0"/>
                <w:sz w:val="18"/>
                <w:szCs w:val="18"/>
                <w:lang w:val="en-US" w:eastAsia="zh-CN" w:bidi="ar-SA"/>
              </w:rPr>
            </w:pPr>
            <w:r>
              <w:rPr>
                <w:rFonts w:hint="eastAsia"/>
                <w:sz w:val="18"/>
                <w:szCs w:val="18"/>
                <w:lang w:val="en-US" w:eastAsia="zh-CN"/>
              </w:rPr>
              <w:t>18602</w:t>
            </w:r>
            <w:r>
              <w:rPr>
                <w:rFonts w:hint="default"/>
                <w:sz w:val="18"/>
                <w:szCs w:val="18"/>
                <w:lang w:val="en-US" w:eastAsia="zh-CN"/>
              </w:rPr>
              <w:t>（其中使用权面积</w:t>
            </w:r>
            <w:r>
              <w:rPr>
                <w:rFonts w:hint="eastAsia"/>
                <w:sz w:val="18"/>
                <w:szCs w:val="18"/>
                <w:lang w:val="en-US" w:eastAsia="zh-CN"/>
              </w:rPr>
              <w:t>约</w:t>
            </w:r>
            <w:r>
              <w:rPr>
                <w:rFonts w:hint="default"/>
                <w:sz w:val="18"/>
                <w:szCs w:val="18"/>
                <w:lang w:val="en-US" w:eastAsia="zh-CN"/>
              </w:rPr>
              <w:t>为</w:t>
            </w:r>
            <w:r>
              <w:rPr>
                <w:rFonts w:hint="eastAsia"/>
                <w:sz w:val="18"/>
                <w:szCs w:val="18"/>
                <w:lang w:val="en-US" w:eastAsia="zh-CN"/>
              </w:rPr>
              <w:t>17302</w:t>
            </w:r>
            <w:r>
              <w:rPr>
                <w:rFonts w:hint="default"/>
                <w:sz w:val="18"/>
                <w:szCs w:val="18"/>
                <w:lang w:val="en-US" w:eastAsia="zh-CN"/>
              </w:rPr>
              <w:t>㎡）</w:t>
            </w:r>
          </w:p>
        </w:tc>
        <w:tc>
          <w:tcPr>
            <w:tcW w:w="487"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eastAsia" w:eastAsia="宋体" w:cs="Times New Roman"/>
                <w:color w:val="auto"/>
                <w:kern w:val="0"/>
                <w:sz w:val="18"/>
                <w:szCs w:val="18"/>
                <w:highlight w:val="none"/>
                <w:lang w:val="en-US" w:eastAsia="zh-CN"/>
              </w:rPr>
              <w:t>工业用地</w:t>
            </w:r>
          </w:p>
        </w:tc>
        <w:tc>
          <w:tcPr>
            <w:tcW w:w="695" w:type="dxa"/>
            <w:vAlign w:val="center"/>
          </w:tcPr>
          <w:p>
            <w:pPr>
              <w:pStyle w:val="13"/>
              <w:spacing w:line="0" w:lineRule="atLeast"/>
              <w:jc w:val="center"/>
              <w:rPr>
                <w:rFonts w:hint="eastAsia"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rPr>
              <w:t>18602</w:t>
            </w:r>
          </w:p>
        </w:tc>
        <w:tc>
          <w:tcPr>
            <w:tcW w:w="755" w:type="dxa"/>
            <w:vAlign w:val="center"/>
          </w:tcPr>
          <w:p>
            <w:pPr>
              <w:pStyle w:val="13"/>
              <w:spacing w:line="0" w:lineRule="atLeast"/>
              <w:jc w:val="center"/>
              <w:rPr>
                <w:rFonts w:hint="eastAsia" w:ascii="Times New Roman" w:hAnsi="Times New Roman" w:eastAsia="宋体" w:cs="Times New Roman"/>
                <w:kern w:val="2"/>
                <w:sz w:val="18"/>
                <w:szCs w:val="18"/>
                <w:lang w:val="en-US" w:eastAsia="zh-CN" w:bidi="ar-SA"/>
              </w:rPr>
            </w:pPr>
            <w:r>
              <w:rPr>
                <w:rFonts w:hint="eastAsia" w:cs="Times New Roman"/>
                <w:color w:val="auto"/>
                <w:kern w:val="0"/>
                <w:sz w:val="18"/>
                <w:szCs w:val="18"/>
                <w:highlight w:val="none"/>
                <w:lang w:val="en-US" w:eastAsia="zh-CN"/>
              </w:rPr>
              <w:t>1.2</w:t>
            </w:r>
            <w:r>
              <w:rPr>
                <w:rFonts w:hint="default" w:eastAsia="宋体" w:cs="Times New Roman"/>
                <w:color w:val="auto"/>
                <w:kern w:val="0"/>
                <w:sz w:val="18"/>
                <w:szCs w:val="18"/>
                <w:highlight w:val="none"/>
                <w:lang w:val="en-US" w:eastAsia="zh-CN"/>
              </w:rPr>
              <w:t>≤R≤</w:t>
            </w:r>
            <w:r>
              <w:rPr>
                <w:rFonts w:hint="eastAsia" w:cs="Times New Roman"/>
                <w:color w:val="auto"/>
                <w:kern w:val="0"/>
                <w:sz w:val="18"/>
                <w:szCs w:val="18"/>
                <w:highlight w:val="none"/>
                <w:lang w:val="en-US" w:eastAsia="zh-CN"/>
              </w:rPr>
              <w:t>2.0</w:t>
            </w:r>
          </w:p>
        </w:tc>
        <w:tc>
          <w:tcPr>
            <w:tcW w:w="1000" w:type="dxa"/>
            <w:vAlign w:val="center"/>
          </w:tcPr>
          <w:p>
            <w:pPr>
              <w:pStyle w:val="13"/>
              <w:spacing w:line="0" w:lineRule="atLeast"/>
              <w:jc w:val="center"/>
              <w:rPr>
                <w:rFonts w:hint="eastAsia" w:ascii="Times New Roman" w:hAnsi="Times New Roman" w:eastAsia="宋体" w:cs="Times New Roman"/>
                <w:kern w:val="2"/>
                <w:sz w:val="18"/>
                <w:szCs w:val="18"/>
                <w:lang w:val="en-US" w:eastAsia="zh-CN" w:bidi="ar-SA"/>
              </w:rPr>
            </w:pPr>
            <w:r>
              <w:rPr>
                <w:rFonts w:hint="eastAsia" w:cs="Times New Roman"/>
                <w:color w:val="auto"/>
                <w:kern w:val="0"/>
                <w:sz w:val="18"/>
                <w:szCs w:val="18"/>
                <w:highlight w:val="none"/>
                <w:lang w:val="en-US" w:eastAsia="zh-CN"/>
              </w:rPr>
              <w:t>22322</w:t>
            </w:r>
            <w:r>
              <w:rPr>
                <w:rFonts w:hint="default" w:eastAsia="宋体" w:cs="Times New Roman"/>
                <w:color w:val="auto"/>
                <w:kern w:val="0"/>
                <w:sz w:val="18"/>
                <w:szCs w:val="18"/>
                <w:highlight w:val="none"/>
                <w:lang w:val="en-US" w:eastAsia="zh-CN"/>
              </w:rPr>
              <w:t>≤S≤</w:t>
            </w:r>
            <w:r>
              <w:rPr>
                <w:rFonts w:hint="eastAsia" w:cs="Times New Roman"/>
                <w:color w:val="auto"/>
                <w:kern w:val="0"/>
                <w:sz w:val="18"/>
                <w:szCs w:val="18"/>
                <w:highlight w:val="none"/>
                <w:lang w:val="en-US" w:eastAsia="zh-CN"/>
              </w:rPr>
              <w:t>37204</w:t>
            </w:r>
          </w:p>
        </w:tc>
        <w:tc>
          <w:tcPr>
            <w:tcW w:w="559"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default" w:eastAsia="宋体" w:cs="Times New Roman"/>
                <w:color w:val="auto"/>
                <w:kern w:val="0"/>
                <w:sz w:val="18"/>
                <w:szCs w:val="18"/>
                <w:highlight w:val="none"/>
                <w:lang w:val="en-US" w:eastAsia="zh-CN"/>
              </w:rPr>
              <w:t>≥3</w:t>
            </w:r>
            <w:r>
              <w:rPr>
                <w:rFonts w:hint="eastAsia" w:cs="Times New Roman"/>
                <w:color w:val="auto"/>
                <w:kern w:val="0"/>
                <w:sz w:val="18"/>
                <w:szCs w:val="18"/>
                <w:highlight w:val="none"/>
                <w:lang w:val="en-US" w:eastAsia="zh-CN"/>
              </w:rPr>
              <w:t>0</w:t>
            </w:r>
          </w:p>
        </w:tc>
        <w:tc>
          <w:tcPr>
            <w:tcW w:w="747"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default" w:eastAsia="宋体" w:cs="Times New Roman"/>
                <w:color w:val="auto"/>
                <w:kern w:val="0"/>
                <w:sz w:val="18"/>
                <w:szCs w:val="18"/>
                <w:highlight w:val="none"/>
                <w:lang w:val="en-US" w:eastAsia="zh-CN"/>
              </w:rPr>
              <w:t>15≤绿地率≤20</w:t>
            </w:r>
          </w:p>
        </w:tc>
        <w:tc>
          <w:tcPr>
            <w:tcW w:w="854"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eastAsia" w:eastAsia="宋体" w:cs="Times New Roman"/>
                <w:color w:val="auto"/>
                <w:kern w:val="0"/>
                <w:sz w:val="18"/>
                <w:szCs w:val="18"/>
                <w:highlight w:val="none"/>
                <w:lang w:val="en-US" w:eastAsia="zh-CN"/>
              </w:rPr>
              <w:t>按</w:t>
            </w:r>
            <w:r>
              <w:rPr>
                <w:rFonts w:hint="default" w:eastAsia="宋体" w:cs="Times New Roman"/>
                <w:color w:val="auto"/>
                <w:kern w:val="0"/>
                <w:sz w:val="18"/>
                <w:szCs w:val="18"/>
                <w:highlight w:val="none"/>
                <w:lang w:val="en-US" w:eastAsia="zh-CN"/>
              </w:rPr>
              <w:t>《规划设计条件告知书》</w:t>
            </w:r>
            <w:r>
              <w:rPr>
                <w:rFonts w:hint="eastAsia" w:cs="Times New Roman"/>
                <w:color w:val="auto"/>
                <w:kern w:val="0"/>
                <w:sz w:val="18"/>
                <w:szCs w:val="18"/>
                <w:highlight w:val="none"/>
                <w:lang w:val="en-US" w:eastAsia="zh-CN"/>
              </w:rPr>
              <w:t>（草案）</w:t>
            </w:r>
            <w:r>
              <w:rPr>
                <w:rFonts w:hint="default" w:eastAsia="宋体" w:cs="Times New Roman"/>
                <w:color w:val="auto"/>
                <w:kern w:val="0"/>
                <w:sz w:val="18"/>
                <w:szCs w:val="18"/>
                <w:highlight w:val="none"/>
                <w:lang w:val="en-US" w:eastAsia="zh-CN"/>
              </w:rPr>
              <w:t>要求配建</w:t>
            </w:r>
          </w:p>
        </w:tc>
        <w:tc>
          <w:tcPr>
            <w:tcW w:w="714"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50</w:t>
            </w:r>
          </w:p>
        </w:tc>
        <w:tc>
          <w:tcPr>
            <w:tcW w:w="714" w:type="dxa"/>
            <w:vAlign w:val="center"/>
          </w:tcPr>
          <w:p>
            <w:pPr>
              <w:pStyle w:val="13"/>
              <w:spacing w:line="0" w:lineRule="atLeast"/>
              <w:jc w:val="center"/>
              <w:rPr>
                <w:rFonts w:hint="eastAsia"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rPr>
              <w:t>1948</w:t>
            </w:r>
          </w:p>
        </w:tc>
        <w:tc>
          <w:tcPr>
            <w:tcW w:w="743" w:type="dxa"/>
            <w:vAlign w:val="center"/>
          </w:tcPr>
          <w:p>
            <w:pPr>
              <w:pStyle w:val="13"/>
              <w:spacing w:line="0" w:lineRule="atLeast"/>
              <w:jc w:val="center"/>
              <w:rPr>
                <w:rFonts w:hint="eastAsia" w:ascii="Times New Roman" w:hAnsi="Times New Roman" w:eastAsia="宋体" w:cs="Times New Roman"/>
                <w:kern w:val="2"/>
                <w:sz w:val="18"/>
                <w:szCs w:val="18"/>
                <w:lang w:val="en-US" w:eastAsia="zh-CN" w:bidi="ar-SA"/>
              </w:rPr>
            </w:pPr>
            <w:r>
              <w:rPr>
                <w:rFonts w:hint="eastAsia" w:cs="Times New Roman"/>
                <w:sz w:val="18"/>
                <w:szCs w:val="18"/>
                <w:lang w:val="en-US" w:eastAsia="zh-CN"/>
              </w:rPr>
              <w:t>20</w:t>
            </w:r>
          </w:p>
        </w:tc>
        <w:tc>
          <w:tcPr>
            <w:tcW w:w="670" w:type="dxa"/>
            <w:vAlign w:val="center"/>
          </w:tcPr>
          <w:p>
            <w:pPr>
              <w:pStyle w:val="13"/>
              <w:spacing w:line="0" w:lineRule="atLeast"/>
              <w:jc w:val="center"/>
              <w:rPr>
                <w:rFonts w:hint="eastAsia"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rPr>
              <w:t>390</w:t>
            </w:r>
          </w:p>
        </w:tc>
        <w:tc>
          <w:tcPr>
            <w:tcW w:w="772"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2023年</w:t>
            </w:r>
            <w:r>
              <w:rPr>
                <w:rFonts w:hint="eastAsia" w:cs="Times New Roman"/>
                <w:sz w:val="18"/>
                <w:szCs w:val="18"/>
                <w:lang w:val="en-US" w:eastAsia="zh-CN"/>
              </w:rPr>
              <w:t>7</w:t>
            </w:r>
            <w:r>
              <w:rPr>
                <w:rFonts w:hint="default" w:ascii="Times New Roman" w:hAnsi="Times New Roman" w:cs="Times New Roman"/>
                <w:sz w:val="18"/>
                <w:szCs w:val="18"/>
              </w:rPr>
              <w:t>月</w:t>
            </w:r>
            <w:r>
              <w:rPr>
                <w:rFonts w:hint="eastAsia" w:cs="Times New Roman"/>
                <w:sz w:val="18"/>
                <w:szCs w:val="18"/>
                <w:lang w:val="en-US" w:eastAsia="zh-CN"/>
              </w:rPr>
              <w:t xml:space="preserve"> 4</w:t>
            </w:r>
            <w:r>
              <w:rPr>
                <w:rFonts w:hint="default" w:ascii="Times New Roman" w:hAnsi="Times New Roman" w:cs="Times New Roman"/>
                <w:sz w:val="18"/>
                <w:szCs w:val="18"/>
              </w:rPr>
              <w:t>日9时</w:t>
            </w:r>
          </w:p>
        </w:tc>
        <w:tc>
          <w:tcPr>
            <w:tcW w:w="773"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default" w:eastAsia="宋体" w:cs="Times New Roman"/>
                <w:color w:val="auto"/>
                <w:kern w:val="0"/>
                <w:sz w:val="18"/>
                <w:szCs w:val="18"/>
                <w:highlight w:val="none"/>
                <w:lang w:val="en-US" w:eastAsia="zh-CN"/>
              </w:rPr>
              <w:t>≥1</w:t>
            </w:r>
            <w:r>
              <w:rPr>
                <w:rFonts w:hint="eastAsia" w:cs="Times New Roman"/>
                <w:color w:val="auto"/>
                <w:kern w:val="0"/>
                <w:sz w:val="18"/>
                <w:szCs w:val="18"/>
                <w:highlight w:val="none"/>
                <w:lang w:val="en-US" w:eastAsia="zh-CN"/>
              </w:rPr>
              <w:t>3880</w:t>
            </w:r>
            <w:r>
              <w:rPr>
                <w:rFonts w:hint="default" w:eastAsia="宋体" w:cs="Times New Roman"/>
                <w:color w:val="auto"/>
                <w:kern w:val="0"/>
                <w:sz w:val="18"/>
                <w:szCs w:val="18"/>
                <w:highlight w:val="none"/>
                <w:lang w:val="en-US" w:eastAsia="zh-CN"/>
              </w:rPr>
              <w:t xml:space="preserve"> 元/</w:t>
            </w:r>
            <w:r>
              <w:rPr>
                <w:rFonts w:hint="eastAsia" w:eastAsia="宋体" w:cs="Times New Roman"/>
                <w:color w:val="auto"/>
                <w:kern w:val="0"/>
                <w:sz w:val="18"/>
                <w:szCs w:val="18"/>
                <w:highlight w:val="none"/>
                <w:lang w:val="en-US" w:eastAsia="zh-CN"/>
              </w:rPr>
              <w:t>㎡</w:t>
            </w:r>
          </w:p>
        </w:tc>
        <w:tc>
          <w:tcPr>
            <w:tcW w:w="1230"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default" w:cs="Times New Roman"/>
                <w:color w:val="auto"/>
                <w:kern w:val="0"/>
                <w:sz w:val="18"/>
                <w:szCs w:val="18"/>
                <w:highlight w:val="none"/>
                <w:lang w:val="en-US" w:eastAsia="zh-CN"/>
              </w:rPr>
              <w:t>五轴及以上联动数控机床，数控系统，高精密、高性能的切削刀具、量具量仪和磨料磨具</w:t>
            </w:r>
          </w:p>
        </w:tc>
        <w:tc>
          <w:tcPr>
            <w:tcW w:w="1095"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default" w:cs="Times New Roman"/>
                <w:color w:val="auto"/>
                <w:kern w:val="0"/>
                <w:sz w:val="18"/>
                <w:szCs w:val="18"/>
                <w:highlight w:val="none"/>
                <w:lang w:val="en-US" w:eastAsia="zh-CN"/>
              </w:rPr>
              <w:t>惠州仲恺高新区管理委员会科技创新和投资促进局</w:t>
            </w:r>
          </w:p>
        </w:tc>
        <w:tc>
          <w:tcPr>
            <w:tcW w:w="1095"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rPr>
              <w:t>需配建5G通信基站</w:t>
            </w:r>
            <w:r>
              <w:rPr>
                <w:rFonts w:hint="eastAsia" w:cs="Times New Roman"/>
                <w:kern w:val="0"/>
                <w:sz w:val="18"/>
                <w:szCs w:val="18"/>
                <w:lang w:val="en-US" w:eastAsia="zh-CN"/>
              </w:rPr>
              <w:t>1</w:t>
            </w:r>
            <w:r>
              <w:rPr>
                <w:rFonts w:hint="default" w:ascii="Times New Roman" w:hAnsi="Times New Roman" w:cs="Times New Roman"/>
                <w:kern w:val="0"/>
                <w:sz w:val="18"/>
                <w:szCs w:val="18"/>
                <w:lang w:val="en-US" w:eastAsia="zh-CN"/>
              </w:rPr>
              <w:t>个，每处基站建筑面积≥35㎡。</w:t>
            </w:r>
            <w:r>
              <w:rPr>
                <w:kern w:val="0"/>
                <w:sz w:val="18"/>
                <w:szCs w:val="18"/>
              </w:rPr>
              <w:t>行政办公及生活服务配套设施用地面积不得超过总用地面积的</w:t>
            </w:r>
            <w:r>
              <w:rPr>
                <w:rFonts w:hint="eastAsia"/>
                <w:kern w:val="0"/>
                <w:sz w:val="18"/>
                <w:szCs w:val="18"/>
              </w:rPr>
              <w:t>7</w:t>
            </w:r>
            <w:r>
              <w:rPr>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17" w:type="dxa"/>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惠仲土（用地）挂[2023]0</w:t>
            </w:r>
            <w:r>
              <w:rPr>
                <w:rFonts w:hint="eastAsia" w:cs="Times New Roman"/>
                <w:sz w:val="18"/>
                <w:szCs w:val="18"/>
                <w:lang w:val="en-US" w:eastAsia="zh-CN"/>
              </w:rPr>
              <w:t>44</w:t>
            </w:r>
            <w:r>
              <w:rPr>
                <w:rFonts w:hint="default" w:ascii="Times New Roman" w:hAnsi="Times New Roman" w:cs="Times New Roman"/>
                <w:sz w:val="18"/>
                <w:szCs w:val="18"/>
              </w:rPr>
              <w:t>号</w:t>
            </w:r>
          </w:p>
        </w:tc>
        <w:tc>
          <w:tcPr>
            <w:tcW w:w="709"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eastAsia"/>
                <w:sz w:val="18"/>
                <w:szCs w:val="18"/>
                <w:lang w:val="en-US" w:eastAsia="zh-CN"/>
              </w:rPr>
              <w:t>惠州仲恺高新区潼湖生态智慧区国际合作产业园西区</w:t>
            </w:r>
          </w:p>
        </w:tc>
        <w:tc>
          <w:tcPr>
            <w:tcW w:w="661"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eastAsia"/>
                <w:sz w:val="18"/>
                <w:szCs w:val="18"/>
                <w:lang w:val="en-US" w:eastAsia="zh-CN"/>
              </w:rPr>
              <w:t>ZKD-007-21-05</w:t>
            </w:r>
          </w:p>
        </w:tc>
        <w:tc>
          <w:tcPr>
            <w:tcW w:w="640" w:type="dxa"/>
            <w:vAlign w:val="center"/>
          </w:tcPr>
          <w:p>
            <w:pPr>
              <w:pStyle w:val="13"/>
              <w:spacing w:line="0" w:lineRule="atLeast"/>
              <w:jc w:val="center"/>
              <w:rPr>
                <w:rFonts w:hint="eastAsia" w:ascii="Times New Roman" w:hAnsi="Times New Roman" w:eastAsia="宋体" w:cs="Times New Roman"/>
                <w:kern w:val="0"/>
                <w:sz w:val="18"/>
                <w:szCs w:val="18"/>
                <w:lang w:val="en-US" w:eastAsia="zh-CN" w:bidi="ar-SA"/>
              </w:rPr>
            </w:pPr>
            <w:r>
              <w:rPr>
                <w:rFonts w:hint="eastAsia"/>
                <w:sz w:val="18"/>
                <w:szCs w:val="18"/>
                <w:lang w:val="en-US" w:eastAsia="zh-CN"/>
              </w:rPr>
              <w:t>48203</w:t>
            </w:r>
            <w:r>
              <w:rPr>
                <w:rFonts w:hint="default"/>
                <w:sz w:val="18"/>
                <w:szCs w:val="18"/>
                <w:lang w:val="en-US" w:eastAsia="zh-CN"/>
              </w:rPr>
              <w:t>（其中使用权面积</w:t>
            </w:r>
            <w:r>
              <w:rPr>
                <w:rFonts w:hint="eastAsia"/>
                <w:sz w:val="18"/>
                <w:szCs w:val="18"/>
                <w:lang w:val="en-US" w:eastAsia="zh-CN"/>
              </w:rPr>
              <w:t>约</w:t>
            </w:r>
            <w:r>
              <w:rPr>
                <w:rFonts w:hint="default"/>
                <w:sz w:val="18"/>
                <w:szCs w:val="18"/>
                <w:lang w:val="en-US" w:eastAsia="zh-CN"/>
              </w:rPr>
              <w:t>为</w:t>
            </w:r>
            <w:r>
              <w:rPr>
                <w:rFonts w:hint="eastAsia"/>
                <w:sz w:val="18"/>
                <w:szCs w:val="18"/>
                <w:lang w:val="en-US" w:eastAsia="zh-CN"/>
              </w:rPr>
              <w:t xml:space="preserve">47145 </w:t>
            </w:r>
            <w:r>
              <w:rPr>
                <w:rFonts w:hint="default"/>
                <w:sz w:val="18"/>
                <w:szCs w:val="18"/>
                <w:lang w:val="en-US" w:eastAsia="zh-CN"/>
              </w:rPr>
              <w:t>㎡）</w:t>
            </w:r>
          </w:p>
        </w:tc>
        <w:tc>
          <w:tcPr>
            <w:tcW w:w="487"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eastAsia" w:eastAsia="宋体" w:cs="Times New Roman"/>
                <w:color w:val="auto"/>
                <w:kern w:val="0"/>
                <w:sz w:val="18"/>
                <w:szCs w:val="18"/>
                <w:highlight w:val="none"/>
                <w:lang w:val="en-US" w:eastAsia="zh-CN"/>
              </w:rPr>
              <w:t>工业用地</w:t>
            </w:r>
          </w:p>
        </w:tc>
        <w:tc>
          <w:tcPr>
            <w:tcW w:w="695" w:type="dxa"/>
            <w:vAlign w:val="center"/>
          </w:tcPr>
          <w:p>
            <w:pPr>
              <w:pStyle w:val="13"/>
              <w:spacing w:line="0" w:lineRule="atLeast"/>
              <w:jc w:val="center"/>
              <w:rPr>
                <w:rFonts w:hint="eastAsia"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rPr>
              <w:t>48203</w:t>
            </w:r>
          </w:p>
        </w:tc>
        <w:tc>
          <w:tcPr>
            <w:tcW w:w="755" w:type="dxa"/>
            <w:vAlign w:val="center"/>
          </w:tcPr>
          <w:p>
            <w:pPr>
              <w:pStyle w:val="13"/>
              <w:spacing w:line="0" w:lineRule="atLeast"/>
              <w:jc w:val="center"/>
              <w:rPr>
                <w:rFonts w:hint="eastAsia" w:ascii="Times New Roman" w:hAnsi="Times New Roman" w:eastAsia="宋体" w:cs="Times New Roman"/>
                <w:kern w:val="2"/>
                <w:sz w:val="18"/>
                <w:szCs w:val="18"/>
                <w:lang w:val="en-US" w:eastAsia="zh-CN" w:bidi="ar-SA"/>
              </w:rPr>
            </w:pPr>
            <w:r>
              <w:rPr>
                <w:rFonts w:hint="eastAsia" w:cs="Times New Roman"/>
                <w:color w:val="auto"/>
                <w:kern w:val="0"/>
                <w:sz w:val="18"/>
                <w:szCs w:val="18"/>
                <w:highlight w:val="none"/>
                <w:lang w:val="en-US" w:eastAsia="zh-CN"/>
              </w:rPr>
              <w:t>1.2</w:t>
            </w:r>
            <w:r>
              <w:rPr>
                <w:rFonts w:hint="default" w:eastAsia="宋体" w:cs="Times New Roman"/>
                <w:color w:val="auto"/>
                <w:kern w:val="0"/>
                <w:sz w:val="18"/>
                <w:szCs w:val="18"/>
                <w:highlight w:val="none"/>
                <w:lang w:val="en-US" w:eastAsia="zh-CN"/>
              </w:rPr>
              <w:t>≤R≤</w:t>
            </w:r>
            <w:r>
              <w:rPr>
                <w:rFonts w:hint="eastAsia" w:cs="Times New Roman"/>
                <w:color w:val="auto"/>
                <w:kern w:val="0"/>
                <w:sz w:val="18"/>
                <w:szCs w:val="18"/>
                <w:highlight w:val="none"/>
                <w:lang w:val="en-US" w:eastAsia="zh-CN"/>
              </w:rPr>
              <w:t>2.0</w:t>
            </w:r>
          </w:p>
        </w:tc>
        <w:tc>
          <w:tcPr>
            <w:tcW w:w="1000" w:type="dxa"/>
            <w:vAlign w:val="center"/>
          </w:tcPr>
          <w:p>
            <w:pPr>
              <w:pStyle w:val="13"/>
              <w:spacing w:line="0" w:lineRule="atLeast"/>
              <w:jc w:val="center"/>
              <w:rPr>
                <w:rFonts w:hint="eastAsia" w:ascii="Times New Roman" w:hAnsi="Times New Roman" w:eastAsia="宋体" w:cs="Times New Roman"/>
                <w:kern w:val="2"/>
                <w:sz w:val="18"/>
                <w:szCs w:val="18"/>
                <w:lang w:val="en-US" w:eastAsia="zh-CN" w:bidi="ar-SA"/>
              </w:rPr>
            </w:pPr>
            <w:r>
              <w:rPr>
                <w:rFonts w:hint="eastAsia" w:cs="Times New Roman"/>
                <w:color w:val="auto"/>
                <w:kern w:val="0"/>
                <w:sz w:val="18"/>
                <w:szCs w:val="18"/>
                <w:highlight w:val="none"/>
                <w:lang w:val="en-US" w:eastAsia="zh-CN"/>
              </w:rPr>
              <w:t>57844</w:t>
            </w:r>
            <w:r>
              <w:rPr>
                <w:rFonts w:hint="default" w:eastAsia="宋体" w:cs="Times New Roman"/>
                <w:color w:val="auto"/>
                <w:kern w:val="0"/>
                <w:sz w:val="18"/>
                <w:szCs w:val="18"/>
                <w:highlight w:val="none"/>
                <w:lang w:val="en-US" w:eastAsia="zh-CN"/>
              </w:rPr>
              <w:t>≤S≤</w:t>
            </w:r>
            <w:r>
              <w:rPr>
                <w:rFonts w:hint="eastAsia" w:cs="Times New Roman"/>
                <w:color w:val="auto"/>
                <w:kern w:val="0"/>
                <w:sz w:val="18"/>
                <w:szCs w:val="18"/>
                <w:highlight w:val="none"/>
                <w:lang w:val="en-US" w:eastAsia="zh-CN"/>
              </w:rPr>
              <w:t>96406</w:t>
            </w:r>
          </w:p>
        </w:tc>
        <w:tc>
          <w:tcPr>
            <w:tcW w:w="559"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default" w:eastAsia="宋体" w:cs="Times New Roman"/>
                <w:color w:val="auto"/>
                <w:kern w:val="0"/>
                <w:sz w:val="18"/>
                <w:szCs w:val="18"/>
                <w:highlight w:val="none"/>
                <w:lang w:val="en-US" w:eastAsia="zh-CN"/>
              </w:rPr>
              <w:t>≥3</w:t>
            </w:r>
            <w:r>
              <w:rPr>
                <w:rFonts w:hint="eastAsia" w:cs="Times New Roman"/>
                <w:color w:val="auto"/>
                <w:kern w:val="0"/>
                <w:sz w:val="18"/>
                <w:szCs w:val="18"/>
                <w:highlight w:val="none"/>
                <w:lang w:val="en-US" w:eastAsia="zh-CN"/>
              </w:rPr>
              <w:t>0</w:t>
            </w:r>
          </w:p>
        </w:tc>
        <w:tc>
          <w:tcPr>
            <w:tcW w:w="747"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default" w:eastAsia="宋体" w:cs="Times New Roman"/>
                <w:color w:val="auto"/>
                <w:kern w:val="0"/>
                <w:sz w:val="18"/>
                <w:szCs w:val="18"/>
                <w:highlight w:val="none"/>
                <w:lang w:val="en-US" w:eastAsia="zh-CN"/>
              </w:rPr>
              <w:t>15≤绿地率≤20</w:t>
            </w:r>
          </w:p>
        </w:tc>
        <w:tc>
          <w:tcPr>
            <w:tcW w:w="854"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eastAsia" w:eastAsia="宋体" w:cs="Times New Roman"/>
                <w:color w:val="auto"/>
                <w:kern w:val="0"/>
                <w:sz w:val="18"/>
                <w:szCs w:val="18"/>
                <w:highlight w:val="none"/>
                <w:lang w:val="en-US" w:eastAsia="zh-CN"/>
              </w:rPr>
              <w:t>按</w:t>
            </w:r>
            <w:r>
              <w:rPr>
                <w:rFonts w:hint="default" w:eastAsia="宋体" w:cs="Times New Roman"/>
                <w:color w:val="auto"/>
                <w:kern w:val="0"/>
                <w:sz w:val="18"/>
                <w:szCs w:val="18"/>
                <w:highlight w:val="none"/>
                <w:lang w:val="en-US" w:eastAsia="zh-CN"/>
              </w:rPr>
              <w:t>《规划设计条件告知书》</w:t>
            </w:r>
            <w:r>
              <w:rPr>
                <w:rFonts w:hint="eastAsia" w:cs="Times New Roman"/>
                <w:color w:val="auto"/>
                <w:kern w:val="0"/>
                <w:sz w:val="18"/>
                <w:szCs w:val="18"/>
                <w:highlight w:val="none"/>
                <w:lang w:val="en-US" w:eastAsia="zh-CN"/>
              </w:rPr>
              <w:t>（草案）</w:t>
            </w:r>
            <w:r>
              <w:rPr>
                <w:rFonts w:hint="default" w:eastAsia="宋体" w:cs="Times New Roman"/>
                <w:color w:val="auto"/>
                <w:kern w:val="0"/>
                <w:sz w:val="18"/>
                <w:szCs w:val="18"/>
                <w:highlight w:val="none"/>
                <w:lang w:val="en-US" w:eastAsia="zh-CN"/>
              </w:rPr>
              <w:t>要求配建</w:t>
            </w:r>
          </w:p>
        </w:tc>
        <w:tc>
          <w:tcPr>
            <w:tcW w:w="714"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50</w:t>
            </w:r>
          </w:p>
        </w:tc>
        <w:tc>
          <w:tcPr>
            <w:tcW w:w="714" w:type="dxa"/>
            <w:vAlign w:val="center"/>
          </w:tcPr>
          <w:p>
            <w:pPr>
              <w:pStyle w:val="13"/>
              <w:spacing w:line="0" w:lineRule="atLeast"/>
              <w:jc w:val="center"/>
              <w:rPr>
                <w:rFonts w:hint="eastAsia"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rPr>
              <w:t>5037</w:t>
            </w:r>
          </w:p>
        </w:tc>
        <w:tc>
          <w:tcPr>
            <w:tcW w:w="743" w:type="dxa"/>
            <w:vAlign w:val="center"/>
          </w:tcPr>
          <w:p>
            <w:pPr>
              <w:pStyle w:val="13"/>
              <w:spacing w:line="0" w:lineRule="atLeast"/>
              <w:jc w:val="center"/>
              <w:rPr>
                <w:rFonts w:hint="eastAsia" w:ascii="Times New Roman" w:hAnsi="Times New Roman" w:eastAsia="宋体" w:cs="Times New Roman"/>
                <w:kern w:val="2"/>
                <w:sz w:val="18"/>
                <w:szCs w:val="18"/>
                <w:lang w:val="en-US" w:eastAsia="zh-CN" w:bidi="ar-SA"/>
              </w:rPr>
            </w:pPr>
            <w:r>
              <w:rPr>
                <w:rFonts w:hint="eastAsia" w:cs="Times New Roman"/>
                <w:sz w:val="18"/>
                <w:szCs w:val="18"/>
                <w:lang w:val="en-US" w:eastAsia="zh-CN"/>
              </w:rPr>
              <w:t>60</w:t>
            </w:r>
          </w:p>
        </w:tc>
        <w:tc>
          <w:tcPr>
            <w:tcW w:w="670" w:type="dxa"/>
            <w:vAlign w:val="center"/>
          </w:tcPr>
          <w:p>
            <w:pPr>
              <w:pStyle w:val="13"/>
              <w:spacing w:line="0" w:lineRule="atLeast"/>
              <w:jc w:val="center"/>
              <w:rPr>
                <w:rFonts w:hint="eastAsia"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rPr>
              <w:t>1008</w:t>
            </w:r>
          </w:p>
        </w:tc>
        <w:tc>
          <w:tcPr>
            <w:tcW w:w="772"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2023年</w:t>
            </w:r>
            <w:r>
              <w:rPr>
                <w:rFonts w:hint="eastAsia" w:cs="Times New Roman"/>
                <w:sz w:val="18"/>
                <w:szCs w:val="18"/>
                <w:lang w:val="en-US" w:eastAsia="zh-CN"/>
              </w:rPr>
              <w:t>7</w:t>
            </w:r>
            <w:r>
              <w:rPr>
                <w:rFonts w:hint="default" w:ascii="Times New Roman" w:hAnsi="Times New Roman" w:cs="Times New Roman"/>
                <w:sz w:val="18"/>
                <w:szCs w:val="18"/>
              </w:rPr>
              <w:t>月</w:t>
            </w:r>
            <w:r>
              <w:rPr>
                <w:rFonts w:hint="eastAsia" w:cs="Times New Roman"/>
                <w:sz w:val="18"/>
                <w:szCs w:val="18"/>
                <w:lang w:val="en-US" w:eastAsia="zh-CN"/>
              </w:rPr>
              <w:t xml:space="preserve"> 4</w:t>
            </w:r>
            <w:r>
              <w:rPr>
                <w:rFonts w:hint="default" w:ascii="Times New Roman" w:hAnsi="Times New Roman" w:cs="Times New Roman"/>
                <w:sz w:val="18"/>
                <w:szCs w:val="18"/>
              </w:rPr>
              <w:t>日9时</w:t>
            </w:r>
          </w:p>
        </w:tc>
        <w:tc>
          <w:tcPr>
            <w:tcW w:w="773"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default" w:eastAsia="宋体" w:cs="Times New Roman"/>
                <w:color w:val="auto"/>
                <w:kern w:val="0"/>
                <w:sz w:val="18"/>
                <w:szCs w:val="18"/>
                <w:highlight w:val="none"/>
                <w:lang w:val="en-US" w:eastAsia="zh-CN"/>
              </w:rPr>
              <w:t>≥</w:t>
            </w:r>
            <w:r>
              <w:rPr>
                <w:rFonts w:hint="eastAsia" w:cs="Times New Roman"/>
                <w:color w:val="auto"/>
                <w:kern w:val="0"/>
                <w:sz w:val="18"/>
                <w:szCs w:val="18"/>
                <w:highlight w:val="none"/>
                <w:lang w:val="en-US" w:eastAsia="zh-CN"/>
              </w:rPr>
              <w:t>16667</w:t>
            </w:r>
            <w:r>
              <w:rPr>
                <w:rFonts w:hint="default" w:eastAsia="宋体" w:cs="Times New Roman"/>
                <w:color w:val="auto"/>
                <w:kern w:val="0"/>
                <w:sz w:val="18"/>
                <w:szCs w:val="18"/>
                <w:highlight w:val="none"/>
                <w:lang w:val="en-US" w:eastAsia="zh-CN"/>
              </w:rPr>
              <w:t xml:space="preserve"> 元/</w:t>
            </w:r>
            <w:r>
              <w:rPr>
                <w:rFonts w:hint="eastAsia" w:eastAsia="宋体" w:cs="Times New Roman"/>
                <w:color w:val="auto"/>
                <w:kern w:val="0"/>
                <w:sz w:val="18"/>
                <w:szCs w:val="18"/>
                <w:highlight w:val="none"/>
                <w:lang w:val="en-US" w:eastAsia="zh-CN"/>
              </w:rPr>
              <w:t>㎡</w:t>
            </w:r>
          </w:p>
        </w:tc>
        <w:tc>
          <w:tcPr>
            <w:tcW w:w="1230"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default" w:cs="Times New Roman"/>
                <w:color w:val="auto"/>
                <w:kern w:val="0"/>
                <w:sz w:val="18"/>
                <w:szCs w:val="18"/>
                <w:highlight w:val="none"/>
                <w:lang w:val="en-US" w:eastAsia="zh-CN"/>
              </w:rPr>
              <w:t>非金属制品精密模具设计、制造领域</w:t>
            </w:r>
          </w:p>
        </w:tc>
        <w:tc>
          <w:tcPr>
            <w:tcW w:w="1095"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default" w:cs="Times New Roman"/>
                <w:color w:val="auto"/>
                <w:kern w:val="0"/>
                <w:sz w:val="18"/>
                <w:szCs w:val="18"/>
                <w:highlight w:val="none"/>
                <w:lang w:val="en-US" w:eastAsia="zh-CN"/>
              </w:rPr>
              <w:t>惠州仲恺高新区管理委员会科技创新和投资促进局</w:t>
            </w:r>
          </w:p>
        </w:tc>
        <w:tc>
          <w:tcPr>
            <w:tcW w:w="1095"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rPr>
              <w:t>需配建5G通信基站2个，每处基站建筑面积≥35㎡。</w:t>
            </w:r>
            <w:r>
              <w:rPr>
                <w:kern w:val="0"/>
                <w:sz w:val="18"/>
                <w:szCs w:val="18"/>
              </w:rPr>
              <w:t>行政办公及生活服务配套设施用地面积不得超过总用地面积的</w:t>
            </w:r>
            <w:r>
              <w:rPr>
                <w:rFonts w:hint="eastAsia"/>
                <w:kern w:val="0"/>
                <w:sz w:val="18"/>
                <w:szCs w:val="18"/>
              </w:rPr>
              <w:t>7</w:t>
            </w:r>
            <w:r>
              <w:rPr>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17" w:type="dxa"/>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惠仲土（用地）挂[2023]0</w:t>
            </w:r>
            <w:r>
              <w:rPr>
                <w:rFonts w:hint="eastAsia" w:cs="Times New Roman"/>
                <w:sz w:val="18"/>
                <w:szCs w:val="18"/>
                <w:lang w:val="en-US" w:eastAsia="zh-CN"/>
              </w:rPr>
              <w:t>45</w:t>
            </w:r>
            <w:r>
              <w:rPr>
                <w:rFonts w:hint="default" w:ascii="Times New Roman" w:hAnsi="Times New Roman" w:cs="Times New Roman"/>
                <w:sz w:val="18"/>
                <w:szCs w:val="18"/>
              </w:rPr>
              <w:t>号</w:t>
            </w:r>
          </w:p>
        </w:tc>
        <w:tc>
          <w:tcPr>
            <w:tcW w:w="709"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rPr>
              <w:t>惠州仲恺高新区潼湖生态智慧区国际合作产业园西区</w:t>
            </w:r>
          </w:p>
        </w:tc>
        <w:tc>
          <w:tcPr>
            <w:tcW w:w="661"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rPr>
              <w:t>ZKD-003-10</w:t>
            </w:r>
          </w:p>
        </w:tc>
        <w:tc>
          <w:tcPr>
            <w:tcW w:w="640" w:type="dxa"/>
            <w:vAlign w:val="center"/>
          </w:tcPr>
          <w:p>
            <w:pPr>
              <w:pStyle w:val="13"/>
              <w:spacing w:line="0" w:lineRule="atLeast"/>
              <w:jc w:val="center"/>
              <w:rPr>
                <w:rFonts w:hint="eastAsia"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rPr>
              <w:t>36493（其中使用权面积为29825㎡）</w:t>
            </w:r>
          </w:p>
        </w:tc>
        <w:tc>
          <w:tcPr>
            <w:tcW w:w="487"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工业用地</w:t>
            </w:r>
          </w:p>
        </w:tc>
        <w:tc>
          <w:tcPr>
            <w:tcW w:w="695" w:type="dxa"/>
            <w:vAlign w:val="center"/>
          </w:tcPr>
          <w:p>
            <w:pPr>
              <w:pStyle w:val="13"/>
              <w:spacing w:line="0" w:lineRule="atLeast"/>
              <w:jc w:val="center"/>
              <w:rPr>
                <w:rFonts w:hint="eastAsia"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rPr>
              <w:t>36493</w:t>
            </w:r>
          </w:p>
        </w:tc>
        <w:tc>
          <w:tcPr>
            <w:tcW w:w="755" w:type="dxa"/>
            <w:vAlign w:val="center"/>
          </w:tcPr>
          <w:p>
            <w:pPr>
              <w:pStyle w:val="13"/>
              <w:spacing w:line="0" w:lineRule="atLeas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2.0</w:t>
            </w:r>
            <w:r>
              <w:rPr>
                <w:rFonts w:hint="default" w:ascii="Times New Roman" w:hAnsi="Times New Roman" w:cs="Times New Roman"/>
                <w:sz w:val="18"/>
                <w:szCs w:val="18"/>
              </w:rPr>
              <w:t>≤R≤</w:t>
            </w:r>
            <w:r>
              <w:rPr>
                <w:rFonts w:hint="default" w:ascii="Times New Roman" w:hAnsi="Times New Roman" w:cs="Times New Roman"/>
                <w:sz w:val="18"/>
                <w:szCs w:val="18"/>
                <w:lang w:val="en-US" w:eastAsia="zh-CN"/>
              </w:rPr>
              <w:t>2.5</w:t>
            </w:r>
          </w:p>
        </w:tc>
        <w:tc>
          <w:tcPr>
            <w:tcW w:w="1000" w:type="dxa"/>
            <w:vAlign w:val="center"/>
          </w:tcPr>
          <w:p>
            <w:pPr>
              <w:pStyle w:val="13"/>
              <w:spacing w:line="0" w:lineRule="atLeas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72986</w:t>
            </w:r>
            <w:r>
              <w:rPr>
                <w:rFonts w:hint="default" w:ascii="Times New Roman" w:hAnsi="Times New Roman" w:cs="Times New Roman"/>
                <w:sz w:val="18"/>
                <w:szCs w:val="18"/>
                <w:lang w:val="en-US" w:eastAsia="zh-CN"/>
              </w:rPr>
              <w:t>≤S≤</w:t>
            </w:r>
            <w:r>
              <w:rPr>
                <w:rFonts w:hint="eastAsia" w:ascii="Times New Roman" w:hAnsi="Times New Roman" w:cs="Times New Roman"/>
                <w:sz w:val="18"/>
                <w:szCs w:val="18"/>
                <w:lang w:val="en-US" w:eastAsia="zh-CN"/>
              </w:rPr>
              <w:t>91233</w:t>
            </w:r>
          </w:p>
        </w:tc>
        <w:tc>
          <w:tcPr>
            <w:tcW w:w="559"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≥30</w:t>
            </w:r>
          </w:p>
        </w:tc>
        <w:tc>
          <w:tcPr>
            <w:tcW w:w="747"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15≤绿地率≤20</w:t>
            </w:r>
          </w:p>
        </w:tc>
        <w:tc>
          <w:tcPr>
            <w:tcW w:w="854"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按《规划设计条件告知书》要求配建</w:t>
            </w:r>
          </w:p>
        </w:tc>
        <w:tc>
          <w:tcPr>
            <w:tcW w:w="714"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50</w:t>
            </w:r>
          </w:p>
        </w:tc>
        <w:tc>
          <w:tcPr>
            <w:tcW w:w="714" w:type="dxa"/>
            <w:vAlign w:val="center"/>
          </w:tcPr>
          <w:p>
            <w:pPr>
              <w:pStyle w:val="13"/>
              <w:spacing w:line="0" w:lineRule="atLeast"/>
              <w:jc w:val="center"/>
              <w:rPr>
                <w:rFonts w:hint="eastAsia"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rPr>
              <w:t>2702</w:t>
            </w:r>
          </w:p>
        </w:tc>
        <w:tc>
          <w:tcPr>
            <w:tcW w:w="743" w:type="dxa"/>
            <w:vAlign w:val="center"/>
          </w:tcPr>
          <w:p>
            <w:pPr>
              <w:pStyle w:val="13"/>
              <w:spacing w:line="0" w:lineRule="atLeast"/>
              <w:jc w:val="center"/>
              <w:rPr>
                <w:rFonts w:hint="eastAsia" w:ascii="Times New Roman" w:hAnsi="Times New Roman" w:eastAsia="宋体" w:cs="Times New Roman"/>
                <w:kern w:val="2"/>
                <w:sz w:val="18"/>
                <w:szCs w:val="18"/>
                <w:lang w:val="en-US" w:eastAsia="zh-CN" w:bidi="ar-SA"/>
              </w:rPr>
            </w:pPr>
            <w:r>
              <w:rPr>
                <w:rFonts w:hint="eastAsia" w:cs="Times New Roman"/>
                <w:sz w:val="18"/>
                <w:szCs w:val="18"/>
                <w:lang w:val="en-US" w:eastAsia="zh-CN"/>
              </w:rPr>
              <w:t>30</w:t>
            </w:r>
          </w:p>
        </w:tc>
        <w:tc>
          <w:tcPr>
            <w:tcW w:w="670" w:type="dxa"/>
            <w:vAlign w:val="center"/>
          </w:tcPr>
          <w:p>
            <w:pPr>
              <w:pStyle w:val="13"/>
              <w:spacing w:line="0" w:lineRule="atLeast"/>
              <w:jc w:val="center"/>
              <w:rPr>
                <w:rFonts w:hint="eastAsia"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rPr>
              <w:t>541</w:t>
            </w:r>
          </w:p>
        </w:tc>
        <w:tc>
          <w:tcPr>
            <w:tcW w:w="772"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2023年</w:t>
            </w:r>
            <w:r>
              <w:rPr>
                <w:rFonts w:hint="eastAsia" w:cs="Times New Roman"/>
                <w:sz w:val="18"/>
                <w:szCs w:val="18"/>
                <w:lang w:val="en-US" w:eastAsia="zh-CN"/>
              </w:rPr>
              <w:t>7</w:t>
            </w:r>
            <w:r>
              <w:rPr>
                <w:rFonts w:hint="default" w:ascii="Times New Roman" w:hAnsi="Times New Roman" w:cs="Times New Roman"/>
                <w:sz w:val="18"/>
                <w:szCs w:val="18"/>
              </w:rPr>
              <w:t>月</w:t>
            </w:r>
            <w:r>
              <w:rPr>
                <w:rFonts w:hint="eastAsia" w:cs="Times New Roman"/>
                <w:sz w:val="18"/>
                <w:szCs w:val="18"/>
                <w:lang w:val="en-US" w:eastAsia="zh-CN"/>
              </w:rPr>
              <w:t xml:space="preserve"> 4</w:t>
            </w:r>
            <w:r>
              <w:rPr>
                <w:rFonts w:hint="default" w:ascii="Times New Roman" w:hAnsi="Times New Roman" w:cs="Times New Roman"/>
                <w:sz w:val="18"/>
                <w:szCs w:val="18"/>
              </w:rPr>
              <w:t>日9时</w:t>
            </w:r>
          </w:p>
        </w:tc>
        <w:tc>
          <w:tcPr>
            <w:tcW w:w="773"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11500元/㎡</w:t>
            </w:r>
          </w:p>
        </w:tc>
        <w:tc>
          <w:tcPr>
            <w:tcW w:w="1230"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rPr>
              <w:t>智能家居</w:t>
            </w:r>
          </w:p>
        </w:tc>
        <w:tc>
          <w:tcPr>
            <w:tcW w:w="1095"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eastAsia="zh-CN"/>
              </w:rPr>
              <w:t>惠州</w:t>
            </w:r>
            <w:r>
              <w:rPr>
                <w:rFonts w:hint="default" w:ascii="Times New Roman" w:hAnsi="Times New Roman" w:cs="Times New Roman"/>
                <w:sz w:val="18"/>
                <w:szCs w:val="18"/>
                <w:lang w:val="en-US" w:eastAsia="zh-CN"/>
              </w:rPr>
              <w:t>潼湖生态智慧区管理委员会</w:t>
            </w:r>
          </w:p>
        </w:tc>
        <w:tc>
          <w:tcPr>
            <w:tcW w:w="1095" w:type="dxa"/>
            <w:vAlign w:val="center"/>
          </w:tcPr>
          <w:p>
            <w:pPr>
              <w:pStyle w:val="13"/>
              <w:spacing w:line="0" w:lineRule="atLeast"/>
              <w:jc w:val="center"/>
              <w:rPr>
                <w:rFonts w:hint="default" w:ascii="Times New Roman" w:hAnsi="Times New Roman" w:cs="Times New Roman"/>
                <w:kern w:val="0"/>
                <w:sz w:val="18"/>
                <w:szCs w:val="18"/>
                <w:lang w:val="en-US" w:eastAsia="zh-CN"/>
              </w:rPr>
            </w:pPr>
            <w:r>
              <w:rPr>
                <w:rFonts w:hint="default" w:ascii="Times New Roman" w:hAnsi="Times New Roman" w:cs="Times New Roman"/>
                <w:kern w:val="0"/>
                <w:sz w:val="18"/>
                <w:szCs w:val="18"/>
                <w:lang w:val="en-US" w:eastAsia="zh-CN"/>
              </w:rPr>
              <w:t>需配建5G通信基站2个，每处基站建筑面积≥35㎡。行政办公及生活服务</w:t>
            </w:r>
            <w:r>
              <w:rPr>
                <w:rFonts w:hint="eastAsia" w:cs="Times New Roman"/>
                <w:kern w:val="0"/>
                <w:sz w:val="18"/>
                <w:szCs w:val="18"/>
                <w:lang w:val="en-US" w:eastAsia="zh-CN"/>
              </w:rPr>
              <w:t>配套</w:t>
            </w:r>
            <w:r>
              <w:rPr>
                <w:rFonts w:hint="default" w:ascii="Times New Roman" w:hAnsi="Times New Roman" w:cs="Times New Roman"/>
                <w:kern w:val="0"/>
                <w:sz w:val="18"/>
                <w:szCs w:val="18"/>
                <w:lang w:val="en-US" w:eastAsia="zh-CN"/>
              </w:rPr>
              <w:t>设施用地面积不得超过总用地面积的7%</w:t>
            </w:r>
          </w:p>
          <w:p>
            <w:pPr>
              <w:pStyle w:val="13"/>
              <w:spacing w:line="0" w:lineRule="atLeast"/>
              <w:jc w:val="center"/>
              <w:rPr>
                <w:rFonts w:hint="default" w:ascii="Times New Roman" w:hAnsi="Times New Roman" w:eastAsia="宋体" w:cs="Times New Roman"/>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17" w:type="dxa"/>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惠仲土（用地）挂[2023]0</w:t>
            </w:r>
            <w:r>
              <w:rPr>
                <w:rFonts w:hint="eastAsia" w:cs="Times New Roman"/>
                <w:sz w:val="18"/>
                <w:szCs w:val="18"/>
                <w:lang w:val="en-US" w:eastAsia="zh-CN"/>
              </w:rPr>
              <w:t>46</w:t>
            </w:r>
            <w:r>
              <w:rPr>
                <w:rFonts w:hint="default" w:ascii="Times New Roman" w:hAnsi="Times New Roman" w:cs="Times New Roman"/>
                <w:sz w:val="18"/>
                <w:szCs w:val="18"/>
              </w:rPr>
              <w:t>号</w:t>
            </w:r>
          </w:p>
        </w:tc>
        <w:tc>
          <w:tcPr>
            <w:tcW w:w="709" w:type="dxa"/>
            <w:vAlign w:val="center"/>
          </w:tcPr>
          <w:p>
            <w:pPr>
              <w:pStyle w:val="13"/>
              <w:spacing w:line="0" w:lineRule="atLeas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惠州仲恺高新区英山片区</w:t>
            </w:r>
          </w:p>
        </w:tc>
        <w:tc>
          <w:tcPr>
            <w:tcW w:w="661" w:type="dxa"/>
            <w:vAlign w:val="center"/>
          </w:tcPr>
          <w:p>
            <w:pPr>
              <w:pStyle w:val="13"/>
              <w:spacing w:line="0" w:lineRule="atLeast"/>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ZKE-065-</w:t>
            </w:r>
            <w:r>
              <w:rPr>
                <w:rFonts w:hint="eastAsia" w:cs="Times New Roman"/>
                <w:kern w:val="0"/>
                <w:sz w:val="18"/>
                <w:szCs w:val="18"/>
                <w:lang w:val="en-US" w:eastAsia="zh-CN"/>
              </w:rPr>
              <w:t>16</w:t>
            </w:r>
          </w:p>
        </w:tc>
        <w:tc>
          <w:tcPr>
            <w:tcW w:w="640" w:type="dxa"/>
            <w:vAlign w:val="center"/>
          </w:tcPr>
          <w:p>
            <w:pPr>
              <w:pStyle w:val="13"/>
              <w:spacing w:line="0" w:lineRule="atLeast"/>
              <w:jc w:val="center"/>
              <w:rPr>
                <w:rFonts w:hint="eastAsia" w:cs="Times New Roman"/>
                <w:kern w:val="0"/>
                <w:sz w:val="18"/>
                <w:szCs w:val="18"/>
                <w:lang w:val="en-US" w:eastAsia="zh-CN"/>
              </w:rPr>
            </w:pPr>
            <w:r>
              <w:rPr>
                <w:rFonts w:hint="eastAsia" w:cs="Times New Roman"/>
                <w:kern w:val="0"/>
                <w:sz w:val="18"/>
                <w:szCs w:val="18"/>
                <w:lang w:val="en-US" w:eastAsia="zh-CN"/>
              </w:rPr>
              <w:t>28233</w:t>
            </w:r>
            <w:r>
              <w:rPr>
                <w:rFonts w:hint="default" w:ascii="Times New Roman" w:hAnsi="Times New Roman" w:cs="Times New Roman"/>
                <w:kern w:val="0"/>
                <w:sz w:val="18"/>
                <w:szCs w:val="18"/>
              </w:rPr>
              <w:t>（其中使用权面积为</w:t>
            </w:r>
            <w:r>
              <w:rPr>
                <w:rFonts w:hint="eastAsia" w:cs="Times New Roman"/>
                <w:kern w:val="0"/>
                <w:sz w:val="18"/>
                <w:szCs w:val="18"/>
                <w:lang w:val="en-US" w:eastAsia="zh-CN"/>
              </w:rPr>
              <w:t>24247</w:t>
            </w:r>
            <w:r>
              <w:rPr>
                <w:rFonts w:hint="default" w:ascii="Times New Roman" w:hAnsi="Times New Roman" w:cs="Times New Roman"/>
                <w:kern w:val="0"/>
                <w:sz w:val="18"/>
                <w:szCs w:val="18"/>
              </w:rPr>
              <w:t>㎡）</w:t>
            </w:r>
          </w:p>
        </w:tc>
        <w:tc>
          <w:tcPr>
            <w:tcW w:w="487" w:type="dxa"/>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工业用地</w:t>
            </w:r>
          </w:p>
        </w:tc>
        <w:tc>
          <w:tcPr>
            <w:tcW w:w="695" w:type="dxa"/>
            <w:vAlign w:val="center"/>
          </w:tcPr>
          <w:p>
            <w:pPr>
              <w:pStyle w:val="13"/>
              <w:spacing w:line="0" w:lineRule="atLeast"/>
              <w:jc w:val="center"/>
              <w:rPr>
                <w:rFonts w:hint="eastAsia" w:cs="Times New Roman"/>
                <w:kern w:val="0"/>
                <w:sz w:val="18"/>
                <w:szCs w:val="18"/>
                <w:lang w:val="en-US" w:eastAsia="zh-CN"/>
              </w:rPr>
            </w:pPr>
            <w:r>
              <w:rPr>
                <w:rFonts w:hint="eastAsia" w:cs="Times New Roman"/>
                <w:kern w:val="0"/>
                <w:sz w:val="18"/>
                <w:szCs w:val="18"/>
                <w:lang w:val="en-US" w:eastAsia="zh-CN"/>
              </w:rPr>
              <w:t>28233</w:t>
            </w:r>
          </w:p>
        </w:tc>
        <w:tc>
          <w:tcPr>
            <w:tcW w:w="755" w:type="dxa"/>
            <w:vAlign w:val="center"/>
          </w:tcPr>
          <w:p>
            <w:pPr>
              <w:pStyle w:val="13"/>
              <w:spacing w:line="0" w:lineRule="atLeast"/>
              <w:jc w:val="center"/>
              <w:rPr>
                <w:rFonts w:hint="eastAsia" w:cs="Times New Roman"/>
                <w:sz w:val="18"/>
                <w:szCs w:val="18"/>
                <w:lang w:val="en-US" w:eastAsia="zh-CN"/>
              </w:rPr>
            </w:pPr>
            <w:r>
              <w:rPr>
                <w:rFonts w:hint="eastAsia" w:cs="Times New Roman"/>
                <w:sz w:val="18"/>
                <w:szCs w:val="18"/>
                <w:lang w:val="en-US" w:eastAsia="zh-CN"/>
              </w:rPr>
              <w:t>1.6</w:t>
            </w:r>
            <w:r>
              <w:rPr>
                <w:rFonts w:hint="default" w:ascii="Times New Roman" w:hAnsi="Times New Roman" w:cs="Times New Roman"/>
                <w:sz w:val="18"/>
                <w:szCs w:val="18"/>
              </w:rPr>
              <w:t>≤R≤</w:t>
            </w:r>
            <w:r>
              <w:rPr>
                <w:rFonts w:hint="default" w:ascii="Times New Roman" w:hAnsi="Times New Roman" w:cs="Times New Roman"/>
                <w:sz w:val="18"/>
                <w:szCs w:val="18"/>
                <w:lang w:val="en-US" w:eastAsia="zh-CN"/>
              </w:rPr>
              <w:t>2.5</w:t>
            </w:r>
          </w:p>
        </w:tc>
        <w:tc>
          <w:tcPr>
            <w:tcW w:w="1000" w:type="dxa"/>
            <w:vAlign w:val="center"/>
          </w:tcPr>
          <w:p>
            <w:pPr>
              <w:pStyle w:val="13"/>
              <w:spacing w:line="0" w:lineRule="atLeast"/>
              <w:jc w:val="center"/>
              <w:rPr>
                <w:rFonts w:hint="eastAsia" w:cs="Times New Roman"/>
                <w:sz w:val="18"/>
                <w:szCs w:val="18"/>
                <w:lang w:val="en-US" w:eastAsia="zh-CN"/>
              </w:rPr>
            </w:pPr>
            <w:r>
              <w:rPr>
                <w:rFonts w:hint="eastAsia" w:cs="Times New Roman"/>
                <w:sz w:val="18"/>
                <w:szCs w:val="18"/>
                <w:lang w:val="en-US" w:eastAsia="zh-CN"/>
              </w:rPr>
              <w:t>45173</w:t>
            </w:r>
            <w:r>
              <w:rPr>
                <w:rFonts w:hint="default" w:ascii="Times New Roman" w:hAnsi="Times New Roman" w:cs="Times New Roman"/>
                <w:sz w:val="18"/>
                <w:szCs w:val="18"/>
              </w:rPr>
              <w:t>≤S≤70583</w:t>
            </w:r>
          </w:p>
        </w:tc>
        <w:tc>
          <w:tcPr>
            <w:tcW w:w="559" w:type="dxa"/>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≥30</w:t>
            </w:r>
          </w:p>
        </w:tc>
        <w:tc>
          <w:tcPr>
            <w:tcW w:w="747" w:type="dxa"/>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15≤绿地率≤20</w:t>
            </w:r>
          </w:p>
        </w:tc>
        <w:tc>
          <w:tcPr>
            <w:tcW w:w="854" w:type="dxa"/>
            <w:vAlign w:val="center"/>
          </w:tcPr>
          <w:p>
            <w:pPr>
              <w:pStyle w:val="13"/>
              <w:spacing w:line="0" w:lineRule="atLeas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按《规划设计条件告知书》要求配建</w:t>
            </w:r>
          </w:p>
        </w:tc>
        <w:tc>
          <w:tcPr>
            <w:tcW w:w="714" w:type="dxa"/>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50</w:t>
            </w:r>
          </w:p>
        </w:tc>
        <w:tc>
          <w:tcPr>
            <w:tcW w:w="714" w:type="dxa"/>
            <w:vAlign w:val="center"/>
          </w:tcPr>
          <w:p>
            <w:pPr>
              <w:pStyle w:val="13"/>
              <w:spacing w:line="0" w:lineRule="atLeast"/>
              <w:jc w:val="center"/>
              <w:rPr>
                <w:rFonts w:hint="eastAsia" w:cs="Times New Roman"/>
                <w:kern w:val="0"/>
                <w:sz w:val="18"/>
                <w:szCs w:val="18"/>
                <w:lang w:val="en-US" w:eastAsia="zh-CN"/>
              </w:rPr>
            </w:pPr>
            <w:r>
              <w:rPr>
                <w:rFonts w:hint="eastAsia" w:cs="Times New Roman"/>
                <w:kern w:val="0"/>
                <w:sz w:val="18"/>
                <w:szCs w:val="18"/>
                <w:lang w:val="en-US" w:eastAsia="zh-CN"/>
              </w:rPr>
              <w:t>2916</w:t>
            </w:r>
          </w:p>
        </w:tc>
        <w:tc>
          <w:tcPr>
            <w:tcW w:w="743" w:type="dxa"/>
            <w:vAlign w:val="center"/>
          </w:tcPr>
          <w:p>
            <w:pPr>
              <w:pStyle w:val="13"/>
              <w:spacing w:line="0" w:lineRule="atLeast"/>
              <w:jc w:val="center"/>
              <w:rPr>
                <w:rFonts w:hint="eastAsia" w:cs="Times New Roman"/>
                <w:sz w:val="18"/>
                <w:szCs w:val="18"/>
                <w:lang w:val="en-US" w:eastAsia="zh-CN"/>
              </w:rPr>
            </w:pPr>
            <w:r>
              <w:rPr>
                <w:rFonts w:hint="eastAsia" w:cs="Times New Roman"/>
                <w:sz w:val="18"/>
                <w:szCs w:val="18"/>
                <w:lang w:val="en-US" w:eastAsia="zh-CN"/>
              </w:rPr>
              <w:t>30</w:t>
            </w:r>
          </w:p>
        </w:tc>
        <w:tc>
          <w:tcPr>
            <w:tcW w:w="670" w:type="dxa"/>
            <w:vAlign w:val="center"/>
          </w:tcPr>
          <w:p>
            <w:pPr>
              <w:pStyle w:val="13"/>
              <w:spacing w:line="0" w:lineRule="atLeast"/>
              <w:jc w:val="center"/>
              <w:rPr>
                <w:rFonts w:hint="eastAsia" w:cs="Times New Roman"/>
                <w:kern w:val="0"/>
                <w:sz w:val="18"/>
                <w:szCs w:val="18"/>
                <w:lang w:val="en-US" w:eastAsia="zh-CN"/>
              </w:rPr>
            </w:pPr>
            <w:r>
              <w:rPr>
                <w:rFonts w:hint="eastAsia" w:cs="Times New Roman"/>
                <w:kern w:val="0"/>
                <w:sz w:val="18"/>
                <w:szCs w:val="18"/>
                <w:lang w:val="en-US" w:eastAsia="zh-CN"/>
              </w:rPr>
              <w:t>584</w:t>
            </w:r>
          </w:p>
        </w:tc>
        <w:tc>
          <w:tcPr>
            <w:tcW w:w="772" w:type="dxa"/>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2023年</w:t>
            </w:r>
            <w:r>
              <w:rPr>
                <w:rFonts w:hint="eastAsia" w:cs="Times New Roman"/>
                <w:sz w:val="18"/>
                <w:szCs w:val="18"/>
                <w:lang w:val="en-US" w:eastAsia="zh-CN"/>
              </w:rPr>
              <w:t>7</w:t>
            </w:r>
            <w:r>
              <w:rPr>
                <w:rFonts w:hint="default" w:ascii="Times New Roman" w:hAnsi="Times New Roman" w:cs="Times New Roman"/>
                <w:sz w:val="18"/>
                <w:szCs w:val="18"/>
              </w:rPr>
              <w:t>月</w:t>
            </w:r>
            <w:r>
              <w:rPr>
                <w:rFonts w:hint="eastAsia" w:cs="Times New Roman"/>
                <w:sz w:val="18"/>
                <w:szCs w:val="18"/>
                <w:lang w:val="en-US" w:eastAsia="zh-CN"/>
              </w:rPr>
              <w:t xml:space="preserve"> 4</w:t>
            </w:r>
            <w:r>
              <w:rPr>
                <w:rFonts w:hint="default" w:ascii="Times New Roman" w:hAnsi="Times New Roman" w:cs="Times New Roman"/>
                <w:sz w:val="18"/>
                <w:szCs w:val="18"/>
              </w:rPr>
              <w:t>日9时</w:t>
            </w:r>
          </w:p>
        </w:tc>
        <w:tc>
          <w:tcPr>
            <w:tcW w:w="773" w:type="dxa"/>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w:t>
            </w:r>
            <w:r>
              <w:rPr>
                <w:rFonts w:hint="eastAsia" w:cs="Times New Roman"/>
                <w:sz w:val="18"/>
                <w:szCs w:val="18"/>
                <w:lang w:val="en-US" w:eastAsia="zh-CN"/>
              </w:rPr>
              <w:t>16071</w:t>
            </w:r>
            <w:r>
              <w:rPr>
                <w:rFonts w:hint="default" w:ascii="Times New Roman" w:hAnsi="Times New Roman" w:cs="Times New Roman"/>
                <w:sz w:val="18"/>
                <w:szCs w:val="18"/>
              </w:rPr>
              <w:t>元/㎡</w:t>
            </w:r>
          </w:p>
        </w:tc>
        <w:tc>
          <w:tcPr>
            <w:tcW w:w="1230" w:type="dxa"/>
            <w:vAlign w:val="center"/>
          </w:tcPr>
          <w:p>
            <w:pPr>
              <w:pStyle w:val="13"/>
              <w:spacing w:line="0" w:lineRule="atLeas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新材料</w:t>
            </w:r>
          </w:p>
        </w:tc>
        <w:tc>
          <w:tcPr>
            <w:tcW w:w="1095" w:type="dxa"/>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惠州仲恺高新区管理委员会科技创新和投资促进局</w:t>
            </w:r>
          </w:p>
        </w:tc>
        <w:tc>
          <w:tcPr>
            <w:tcW w:w="1095" w:type="dxa"/>
            <w:vAlign w:val="center"/>
          </w:tcPr>
          <w:p>
            <w:pPr>
              <w:pStyle w:val="13"/>
              <w:spacing w:line="0" w:lineRule="atLeas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行政办公及生活服务</w:t>
            </w:r>
            <w:r>
              <w:rPr>
                <w:rFonts w:hint="eastAsia" w:cs="Times New Roman"/>
                <w:kern w:val="0"/>
                <w:sz w:val="18"/>
                <w:szCs w:val="18"/>
                <w:lang w:val="en-US" w:eastAsia="zh-CN"/>
              </w:rPr>
              <w:t>配套</w:t>
            </w:r>
            <w:r>
              <w:rPr>
                <w:rFonts w:hint="default" w:ascii="Times New Roman" w:hAnsi="Times New Roman" w:cs="Times New Roman"/>
                <w:kern w:val="0"/>
                <w:sz w:val="18"/>
                <w:szCs w:val="18"/>
              </w:rPr>
              <w:t>设施用地面积不得超过总用地面积的7%</w:t>
            </w:r>
            <w:r>
              <w:rPr>
                <w:rFonts w:hint="eastAsia" w:cs="Times New Roman"/>
                <w:kern w:val="0"/>
                <w:sz w:val="18"/>
                <w:szCs w:val="18"/>
                <w:lang w:eastAsia="zh-CN"/>
              </w:rPr>
              <w:t>；需配建5G通信基站</w:t>
            </w:r>
            <w:r>
              <w:rPr>
                <w:rFonts w:hint="eastAsia" w:cs="Times New Roman"/>
                <w:kern w:val="0"/>
                <w:sz w:val="18"/>
                <w:szCs w:val="18"/>
                <w:lang w:val="en-US" w:eastAsia="zh-CN"/>
              </w:rPr>
              <w:t>1</w:t>
            </w:r>
            <w:r>
              <w:rPr>
                <w:rFonts w:hint="eastAsia" w:cs="Times New Roman"/>
                <w:kern w:val="0"/>
                <w:sz w:val="18"/>
                <w:szCs w:val="18"/>
                <w:lang w:eastAsia="zh-CN"/>
              </w:rPr>
              <w:t>个，每处基站建筑面积≥35㎡，需配建配电网开关1个，60㎡≤每处建筑面积≤200㎡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17" w:type="dxa"/>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惠仲土（用地）挂[2023]0</w:t>
            </w:r>
            <w:r>
              <w:rPr>
                <w:rFonts w:hint="eastAsia" w:cs="Times New Roman"/>
                <w:sz w:val="18"/>
                <w:szCs w:val="18"/>
                <w:lang w:val="en-US" w:eastAsia="zh-CN"/>
              </w:rPr>
              <w:t>47</w:t>
            </w:r>
            <w:r>
              <w:rPr>
                <w:rFonts w:hint="default" w:ascii="Times New Roman" w:hAnsi="Times New Roman" w:cs="Times New Roman"/>
                <w:sz w:val="18"/>
                <w:szCs w:val="18"/>
              </w:rPr>
              <w:t>号</w:t>
            </w:r>
          </w:p>
        </w:tc>
        <w:tc>
          <w:tcPr>
            <w:tcW w:w="709" w:type="dxa"/>
            <w:vAlign w:val="center"/>
          </w:tcPr>
          <w:p>
            <w:pPr>
              <w:pStyle w:val="13"/>
              <w:spacing w:line="0" w:lineRule="atLeas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惠州仲恺高新区英山片区</w:t>
            </w:r>
          </w:p>
        </w:tc>
        <w:tc>
          <w:tcPr>
            <w:tcW w:w="661" w:type="dxa"/>
            <w:vAlign w:val="center"/>
          </w:tcPr>
          <w:p>
            <w:pPr>
              <w:pStyle w:val="13"/>
              <w:spacing w:line="0" w:lineRule="atLeast"/>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ZKE-065-</w:t>
            </w:r>
            <w:r>
              <w:rPr>
                <w:rFonts w:hint="eastAsia" w:cs="Times New Roman"/>
                <w:kern w:val="0"/>
                <w:sz w:val="18"/>
                <w:szCs w:val="18"/>
                <w:lang w:val="en-US" w:eastAsia="zh-CN"/>
              </w:rPr>
              <w:t>15</w:t>
            </w:r>
          </w:p>
        </w:tc>
        <w:tc>
          <w:tcPr>
            <w:tcW w:w="640" w:type="dxa"/>
            <w:vAlign w:val="center"/>
          </w:tcPr>
          <w:p>
            <w:pPr>
              <w:pStyle w:val="13"/>
              <w:spacing w:line="0" w:lineRule="atLeast"/>
              <w:jc w:val="center"/>
              <w:rPr>
                <w:rFonts w:hint="eastAsia" w:cs="Times New Roman"/>
                <w:kern w:val="0"/>
                <w:sz w:val="18"/>
                <w:szCs w:val="18"/>
                <w:lang w:val="en-US" w:eastAsia="zh-CN"/>
              </w:rPr>
            </w:pPr>
            <w:r>
              <w:rPr>
                <w:rFonts w:hint="eastAsia" w:cs="Times New Roman"/>
                <w:kern w:val="0"/>
                <w:sz w:val="18"/>
                <w:szCs w:val="18"/>
                <w:lang w:val="en-US" w:eastAsia="zh-CN"/>
              </w:rPr>
              <w:t>34371</w:t>
            </w:r>
            <w:r>
              <w:rPr>
                <w:rFonts w:hint="default" w:ascii="Times New Roman" w:hAnsi="Times New Roman" w:cs="Times New Roman"/>
                <w:kern w:val="0"/>
                <w:sz w:val="18"/>
                <w:szCs w:val="18"/>
              </w:rPr>
              <w:t>（其中使用权面积为</w:t>
            </w:r>
            <w:r>
              <w:rPr>
                <w:rFonts w:hint="eastAsia" w:cs="Times New Roman"/>
                <w:kern w:val="0"/>
                <w:sz w:val="18"/>
                <w:szCs w:val="18"/>
                <w:lang w:val="en-US" w:eastAsia="zh-CN"/>
              </w:rPr>
              <w:t>27087</w:t>
            </w:r>
            <w:r>
              <w:rPr>
                <w:rFonts w:hint="default" w:ascii="Times New Roman" w:hAnsi="Times New Roman" w:cs="Times New Roman"/>
                <w:kern w:val="0"/>
                <w:sz w:val="18"/>
                <w:szCs w:val="18"/>
              </w:rPr>
              <w:t>㎡）</w:t>
            </w:r>
          </w:p>
        </w:tc>
        <w:tc>
          <w:tcPr>
            <w:tcW w:w="487" w:type="dxa"/>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工业用地</w:t>
            </w:r>
          </w:p>
        </w:tc>
        <w:tc>
          <w:tcPr>
            <w:tcW w:w="695" w:type="dxa"/>
            <w:vAlign w:val="center"/>
          </w:tcPr>
          <w:p>
            <w:pPr>
              <w:pStyle w:val="13"/>
              <w:spacing w:line="0" w:lineRule="atLeast"/>
              <w:jc w:val="center"/>
              <w:rPr>
                <w:rFonts w:hint="default" w:cs="Times New Roman"/>
                <w:kern w:val="0"/>
                <w:sz w:val="18"/>
                <w:szCs w:val="18"/>
                <w:lang w:val="en-US" w:eastAsia="zh-CN"/>
              </w:rPr>
            </w:pPr>
            <w:r>
              <w:rPr>
                <w:rFonts w:hint="eastAsia" w:cs="Times New Roman"/>
                <w:kern w:val="0"/>
                <w:sz w:val="18"/>
                <w:szCs w:val="18"/>
                <w:lang w:val="en-US" w:eastAsia="zh-CN"/>
              </w:rPr>
              <w:t>34371</w:t>
            </w:r>
          </w:p>
        </w:tc>
        <w:tc>
          <w:tcPr>
            <w:tcW w:w="755" w:type="dxa"/>
            <w:vAlign w:val="center"/>
          </w:tcPr>
          <w:p>
            <w:pPr>
              <w:pStyle w:val="13"/>
              <w:spacing w:line="0" w:lineRule="atLeast"/>
              <w:jc w:val="center"/>
              <w:rPr>
                <w:rFonts w:hint="eastAsia" w:ascii="Times New Roman" w:hAnsi="Times New Roman" w:eastAsia="宋体" w:cs="Times New Roman"/>
                <w:kern w:val="2"/>
                <w:sz w:val="18"/>
                <w:szCs w:val="18"/>
                <w:lang w:val="en-US" w:eastAsia="zh-CN" w:bidi="ar-SA"/>
              </w:rPr>
            </w:pPr>
            <w:r>
              <w:rPr>
                <w:rFonts w:hint="eastAsia" w:cs="Times New Roman"/>
                <w:sz w:val="18"/>
                <w:szCs w:val="18"/>
                <w:lang w:val="en-US" w:eastAsia="zh-CN"/>
              </w:rPr>
              <w:t>1.6</w:t>
            </w:r>
            <w:r>
              <w:rPr>
                <w:rFonts w:hint="default" w:ascii="Times New Roman" w:hAnsi="Times New Roman" w:cs="Times New Roman"/>
                <w:sz w:val="18"/>
                <w:szCs w:val="18"/>
              </w:rPr>
              <w:t>≤R≤</w:t>
            </w:r>
            <w:r>
              <w:rPr>
                <w:rFonts w:hint="default" w:ascii="Times New Roman" w:hAnsi="Times New Roman" w:cs="Times New Roman"/>
                <w:sz w:val="18"/>
                <w:szCs w:val="18"/>
                <w:lang w:val="en-US" w:eastAsia="zh-CN"/>
              </w:rPr>
              <w:t>2.5</w:t>
            </w:r>
          </w:p>
        </w:tc>
        <w:tc>
          <w:tcPr>
            <w:tcW w:w="1000"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54994</w:t>
            </w:r>
            <w:r>
              <w:rPr>
                <w:rFonts w:hint="default" w:ascii="Times New Roman" w:hAnsi="Times New Roman" w:cs="Times New Roman"/>
                <w:sz w:val="18"/>
                <w:szCs w:val="18"/>
              </w:rPr>
              <w:t>≤S≤</w:t>
            </w:r>
            <w:r>
              <w:rPr>
                <w:rFonts w:hint="eastAsia" w:cs="Times New Roman"/>
                <w:sz w:val="18"/>
                <w:szCs w:val="18"/>
                <w:lang w:val="en-US" w:eastAsia="zh-CN"/>
              </w:rPr>
              <w:t>85928</w:t>
            </w:r>
          </w:p>
        </w:tc>
        <w:tc>
          <w:tcPr>
            <w:tcW w:w="559"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≥30</w:t>
            </w:r>
          </w:p>
        </w:tc>
        <w:tc>
          <w:tcPr>
            <w:tcW w:w="747"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15≤绿地率≤20</w:t>
            </w:r>
          </w:p>
        </w:tc>
        <w:tc>
          <w:tcPr>
            <w:tcW w:w="854"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按《规划设计条件告知书》</w:t>
            </w:r>
            <w:r>
              <w:rPr>
                <w:rFonts w:hint="eastAsia" w:cs="Times New Roman"/>
                <w:kern w:val="0"/>
                <w:sz w:val="18"/>
                <w:szCs w:val="18"/>
                <w:lang w:eastAsia="zh-CN"/>
              </w:rPr>
              <w:t>（</w:t>
            </w:r>
            <w:r>
              <w:rPr>
                <w:rFonts w:hint="eastAsia" w:cs="Times New Roman"/>
                <w:kern w:val="0"/>
                <w:sz w:val="18"/>
                <w:szCs w:val="18"/>
                <w:lang w:val="en-US" w:eastAsia="zh-CN"/>
              </w:rPr>
              <w:t>草案</w:t>
            </w:r>
            <w:r>
              <w:rPr>
                <w:rFonts w:hint="eastAsia" w:cs="Times New Roman"/>
                <w:kern w:val="0"/>
                <w:sz w:val="18"/>
                <w:szCs w:val="18"/>
                <w:lang w:eastAsia="zh-CN"/>
              </w:rPr>
              <w:t>）</w:t>
            </w:r>
            <w:r>
              <w:rPr>
                <w:rFonts w:hint="default" w:ascii="Times New Roman" w:hAnsi="Times New Roman" w:cs="Times New Roman"/>
                <w:kern w:val="0"/>
                <w:sz w:val="18"/>
                <w:szCs w:val="18"/>
              </w:rPr>
              <w:t>要求配建</w:t>
            </w:r>
          </w:p>
        </w:tc>
        <w:tc>
          <w:tcPr>
            <w:tcW w:w="714"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50</w:t>
            </w:r>
          </w:p>
        </w:tc>
        <w:tc>
          <w:tcPr>
            <w:tcW w:w="714" w:type="dxa"/>
            <w:vAlign w:val="center"/>
          </w:tcPr>
          <w:p>
            <w:pPr>
              <w:pStyle w:val="13"/>
              <w:spacing w:line="0" w:lineRule="atLeast"/>
              <w:jc w:val="center"/>
              <w:rPr>
                <w:rFonts w:hint="default" w:cs="Times New Roman"/>
                <w:kern w:val="0"/>
                <w:sz w:val="18"/>
                <w:szCs w:val="18"/>
                <w:lang w:val="en-US" w:eastAsia="zh-CN"/>
              </w:rPr>
            </w:pPr>
            <w:r>
              <w:rPr>
                <w:rFonts w:hint="eastAsia" w:cs="Times New Roman"/>
                <w:kern w:val="0"/>
                <w:sz w:val="18"/>
                <w:szCs w:val="18"/>
                <w:lang w:val="en-US" w:eastAsia="zh-CN"/>
              </w:rPr>
              <w:t>3603</w:t>
            </w:r>
          </w:p>
        </w:tc>
        <w:tc>
          <w:tcPr>
            <w:tcW w:w="743" w:type="dxa"/>
            <w:vAlign w:val="center"/>
          </w:tcPr>
          <w:p>
            <w:pPr>
              <w:pStyle w:val="13"/>
              <w:spacing w:line="0" w:lineRule="atLeast"/>
              <w:jc w:val="center"/>
              <w:rPr>
                <w:rFonts w:hint="default" w:cs="Times New Roman"/>
                <w:sz w:val="18"/>
                <w:szCs w:val="18"/>
                <w:lang w:val="en-US" w:eastAsia="zh-CN"/>
              </w:rPr>
            </w:pPr>
            <w:r>
              <w:rPr>
                <w:rFonts w:hint="eastAsia" w:cs="Times New Roman"/>
                <w:sz w:val="18"/>
                <w:szCs w:val="18"/>
                <w:lang w:val="en-US" w:eastAsia="zh-CN"/>
              </w:rPr>
              <w:t>40</w:t>
            </w:r>
          </w:p>
        </w:tc>
        <w:tc>
          <w:tcPr>
            <w:tcW w:w="670" w:type="dxa"/>
            <w:vAlign w:val="center"/>
          </w:tcPr>
          <w:p>
            <w:pPr>
              <w:pStyle w:val="13"/>
              <w:spacing w:line="0" w:lineRule="atLeast"/>
              <w:jc w:val="center"/>
              <w:rPr>
                <w:rFonts w:hint="default" w:cs="Times New Roman"/>
                <w:kern w:val="0"/>
                <w:sz w:val="18"/>
                <w:szCs w:val="18"/>
                <w:lang w:val="en-US" w:eastAsia="zh-CN"/>
              </w:rPr>
            </w:pPr>
            <w:r>
              <w:rPr>
                <w:rFonts w:hint="eastAsia" w:cs="Times New Roman"/>
                <w:kern w:val="0"/>
                <w:sz w:val="18"/>
                <w:szCs w:val="18"/>
                <w:lang w:val="en-US" w:eastAsia="zh-CN"/>
              </w:rPr>
              <w:t>721</w:t>
            </w:r>
          </w:p>
        </w:tc>
        <w:tc>
          <w:tcPr>
            <w:tcW w:w="772" w:type="dxa"/>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2023年</w:t>
            </w:r>
            <w:r>
              <w:rPr>
                <w:rFonts w:hint="eastAsia" w:cs="Times New Roman"/>
                <w:sz w:val="18"/>
                <w:szCs w:val="18"/>
                <w:lang w:val="en-US" w:eastAsia="zh-CN"/>
              </w:rPr>
              <w:t>7</w:t>
            </w:r>
            <w:r>
              <w:rPr>
                <w:rFonts w:hint="default" w:ascii="Times New Roman" w:hAnsi="Times New Roman" w:cs="Times New Roman"/>
                <w:sz w:val="18"/>
                <w:szCs w:val="18"/>
              </w:rPr>
              <w:t>月</w:t>
            </w:r>
            <w:r>
              <w:rPr>
                <w:rFonts w:hint="eastAsia" w:cs="Times New Roman"/>
                <w:sz w:val="18"/>
                <w:szCs w:val="18"/>
                <w:lang w:val="en-US" w:eastAsia="zh-CN"/>
              </w:rPr>
              <w:t xml:space="preserve"> 4</w:t>
            </w:r>
            <w:r>
              <w:rPr>
                <w:rFonts w:hint="default" w:ascii="Times New Roman" w:hAnsi="Times New Roman" w:cs="Times New Roman"/>
                <w:sz w:val="18"/>
                <w:szCs w:val="18"/>
              </w:rPr>
              <w:t>日9时</w:t>
            </w:r>
          </w:p>
        </w:tc>
        <w:tc>
          <w:tcPr>
            <w:tcW w:w="773" w:type="dxa"/>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w:t>
            </w:r>
            <w:r>
              <w:rPr>
                <w:rFonts w:hint="eastAsia" w:cs="Times New Roman"/>
                <w:sz w:val="18"/>
                <w:szCs w:val="18"/>
                <w:lang w:val="en-US" w:eastAsia="zh-CN"/>
              </w:rPr>
              <w:t>20000</w:t>
            </w:r>
            <w:r>
              <w:rPr>
                <w:rFonts w:hint="default" w:ascii="Times New Roman" w:hAnsi="Times New Roman" w:cs="Times New Roman"/>
                <w:sz w:val="18"/>
                <w:szCs w:val="18"/>
              </w:rPr>
              <w:t>元/㎡</w:t>
            </w:r>
          </w:p>
        </w:tc>
        <w:tc>
          <w:tcPr>
            <w:tcW w:w="1230" w:type="dxa"/>
            <w:vAlign w:val="center"/>
          </w:tcPr>
          <w:p>
            <w:pPr>
              <w:pStyle w:val="13"/>
              <w:spacing w:line="0" w:lineRule="atLeast"/>
              <w:jc w:val="center"/>
              <w:rPr>
                <w:rFonts w:hint="eastAsia" w:ascii="Times New Roman" w:hAnsi="Times New Roman" w:eastAsia="宋体" w:cs="Times New Roman"/>
                <w:kern w:val="0"/>
                <w:sz w:val="18"/>
                <w:szCs w:val="18"/>
                <w:lang w:val="en-US" w:eastAsia="zh-CN"/>
              </w:rPr>
            </w:pPr>
            <w:r>
              <w:rPr>
                <w:rFonts w:hint="eastAsia" w:cs="Times New Roman"/>
                <w:kern w:val="0"/>
                <w:sz w:val="18"/>
                <w:szCs w:val="18"/>
                <w:lang w:val="en-US" w:eastAsia="zh-CN"/>
              </w:rPr>
              <w:t>人工智能</w:t>
            </w:r>
          </w:p>
        </w:tc>
        <w:tc>
          <w:tcPr>
            <w:tcW w:w="1095" w:type="dxa"/>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惠州仲恺高新区管理委员会科技创新和投资促进局</w:t>
            </w:r>
          </w:p>
        </w:tc>
        <w:tc>
          <w:tcPr>
            <w:tcW w:w="1095" w:type="dxa"/>
            <w:vAlign w:val="center"/>
          </w:tcPr>
          <w:p>
            <w:pPr>
              <w:pStyle w:val="13"/>
              <w:spacing w:line="0" w:lineRule="atLeas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行政办公及生活服务</w:t>
            </w:r>
            <w:r>
              <w:rPr>
                <w:rFonts w:hint="eastAsia" w:cs="Times New Roman"/>
                <w:kern w:val="0"/>
                <w:sz w:val="18"/>
                <w:szCs w:val="18"/>
                <w:lang w:val="en-US" w:eastAsia="zh-CN"/>
              </w:rPr>
              <w:t>配套</w:t>
            </w:r>
            <w:r>
              <w:rPr>
                <w:rFonts w:hint="default" w:ascii="Times New Roman" w:hAnsi="Times New Roman" w:cs="Times New Roman"/>
                <w:kern w:val="0"/>
                <w:sz w:val="18"/>
                <w:szCs w:val="18"/>
              </w:rPr>
              <w:t>设施用地面积不得超过总用地面积的7%</w:t>
            </w:r>
            <w:r>
              <w:rPr>
                <w:rFonts w:hint="eastAsia" w:cs="Times New Roman"/>
                <w:kern w:val="0"/>
                <w:sz w:val="18"/>
                <w:szCs w:val="18"/>
                <w:lang w:eastAsia="zh-CN"/>
              </w:rPr>
              <w:t>；需配建5G通信基站</w:t>
            </w:r>
            <w:r>
              <w:rPr>
                <w:rFonts w:hint="eastAsia" w:cs="Times New Roman"/>
                <w:kern w:val="0"/>
                <w:sz w:val="18"/>
                <w:szCs w:val="18"/>
                <w:lang w:val="en-US" w:eastAsia="zh-CN"/>
              </w:rPr>
              <w:t>2</w:t>
            </w:r>
            <w:r>
              <w:rPr>
                <w:rFonts w:hint="eastAsia" w:cs="Times New Roman"/>
                <w:kern w:val="0"/>
                <w:sz w:val="18"/>
                <w:szCs w:val="18"/>
                <w:lang w:eastAsia="zh-CN"/>
              </w:rPr>
              <w:t>个，每处基站建筑面积≥35㎡，需配建配电网开关1个，60㎡≤每处建筑面积≤200㎡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17" w:type="dxa"/>
            <w:vAlign w:val="center"/>
          </w:tcPr>
          <w:p>
            <w:pPr>
              <w:pStyle w:val="13"/>
              <w:spacing w:line="0" w:lineRule="atLeas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惠仲土（用地）挂[2023]0</w:t>
            </w:r>
            <w:r>
              <w:rPr>
                <w:rFonts w:hint="eastAsia" w:cs="Times New Roman"/>
                <w:sz w:val="18"/>
                <w:szCs w:val="18"/>
                <w:highlight w:val="none"/>
                <w:lang w:val="en-US" w:eastAsia="zh-CN"/>
              </w:rPr>
              <w:t>48</w:t>
            </w:r>
            <w:r>
              <w:rPr>
                <w:rFonts w:hint="default" w:ascii="Times New Roman" w:hAnsi="Times New Roman" w:cs="Times New Roman"/>
                <w:sz w:val="18"/>
                <w:szCs w:val="18"/>
                <w:highlight w:val="none"/>
              </w:rPr>
              <w:t>号</w:t>
            </w:r>
          </w:p>
        </w:tc>
        <w:tc>
          <w:tcPr>
            <w:tcW w:w="709" w:type="dxa"/>
            <w:vAlign w:val="center"/>
          </w:tcPr>
          <w:p>
            <w:pPr>
              <w:pStyle w:val="13"/>
              <w:spacing w:line="0" w:lineRule="atLeast"/>
              <w:jc w:val="center"/>
              <w:rPr>
                <w:rFonts w:hint="default" w:ascii="Times New Roman" w:hAnsi="Times New Roman" w:eastAsia="宋体" w:cs="Times New Roman"/>
                <w:kern w:val="0"/>
                <w:sz w:val="18"/>
                <w:szCs w:val="18"/>
                <w:highlight w:val="none"/>
                <w:lang w:val="en-US" w:eastAsia="zh-CN" w:bidi="ar-SA"/>
              </w:rPr>
            </w:pPr>
            <w:r>
              <w:rPr>
                <w:rFonts w:hint="default" w:ascii="Times New Roman" w:hAnsi="Times New Roman" w:cs="Times New Roman"/>
                <w:kern w:val="0"/>
                <w:sz w:val="18"/>
                <w:szCs w:val="18"/>
                <w:highlight w:val="none"/>
              </w:rPr>
              <w:t>惠州潼湖生态智慧区国际合作产业园东区</w:t>
            </w:r>
          </w:p>
        </w:tc>
        <w:tc>
          <w:tcPr>
            <w:tcW w:w="661" w:type="dxa"/>
            <w:vAlign w:val="center"/>
          </w:tcPr>
          <w:p>
            <w:pPr>
              <w:pStyle w:val="13"/>
              <w:spacing w:line="0" w:lineRule="atLeast"/>
              <w:jc w:val="center"/>
              <w:rPr>
                <w:rFonts w:hint="default" w:ascii="Times New Roman" w:hAnsi="Times New Roman" w:eastAsia="宋体" w:cs="Times New Roman"/>
                <w:kern w:val="0"/>
                <w:sz w:val="18"/>
                <w:szCs w:val="18"/>
                <w:highlight w:val="none"/>
                <w:lang w:val="en-US" w:eastAsia="zh-CN" w:bidi="ar-SA"/>
              </w:rPr>
            </w:pPr>
            <w:r>
              <w:rPr>
                <w:rFonts w:hint="default" w:ascii="Times New Roman" w:hAnsi="Times New Roman" w:eastAsia="宋体" w:cs="Times New Roman"/>
                <w:kern w:val="0"/>
                <w:sz w:val="18"/>
                <w:szCs w:val="18"/>
                <w:highlight w:val="none"/>
                <w:lang w:val="en-US" w:eastAsia="zh-CN"/>
              </w:rPr>
              <w:t>ZKD-001-25</w:t>
            </w:r>
          </w:p>
        </w:tc>
        <w:tc>
          <w:tcPr>
            <w:tcW w:w="640" w:type="dxa"/>
            <w:vAlign w:val="center"/>
          </w:tcPr>
          <w:p>
            <w:pPr>
              <w:pStyle w:val="13"/>
              <w:spacing w:line="0" w:lineRule="atLeast"/>
              <w:jc w:val="center"/>
              <w:rPr>
                <w:rFonts w:hint="eastAsia" w:ascii="Times New Roman" w:hAnsi="Times New Roman" w:eastAsia="宋体" w:cs="Times New Roman"/>
                <w:kern w:val="0"/>
                <w:sz w:val="18"/>
                <w:szCs w:val="18"/>
                <w:highlight w:val="none"/>
                <w:lang w:val="en-US" w:eastAsia="zh-CN" w:bidi="ar-SA"/>
              </w:rPr>
            </w:pPr>
            <w:r>
              <w:rPr>
                <w:rFonts w:hint="eastAsia" w:cs="Times New Roman"/>
                <w:kern w:val="0"/>
                <w:sz w:val="18"/>
                <w:szCs w:val="18"/>
                <w:highlight w:val="none"/>
                <w:lang w:val="en-US" w:eastAsia="zh-CN"/>
              </w:rPr>
              <w:t>14143（其中使用权面积9326㎡）</w:t>
            </w:r>
          </w:p>
        </w:tc>
        <w:tc>
          <w:tcPr>
            <w:tcW w:w="487" w:type="dxa"/>
            <w:vAlign w:val="center"/>
          </w:tcPr>
          <w:p>
            <w:pPr>
              <w:pStyle w:val="13"/>
              <w:spacing w:line="0" w:lineRule="atLeast"/>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cs="Times New Roman"/>
                <w:sz w:val="18"/>
                <w:szCs w:val="18"/>
                <w:highlight w:val="none"/>
              </w:rPr>
              <w:t>工业用地</w:t>
            </w:r>
          </w:p>
        </w:tc>
        <w:tc>
          <w:tcPr>
            <w:tcW w:w="695" w:type="dxa"/>
            <w:vAlign w:val="center"/>
          </w:tcPr>
          <w:p>
            <w:pPr>
              <w:pStyle w:val="13"/>
              <w:spacing w:line="0" w:lineRule="atLeast"/>
              <w:jc w:val="center"/>
              <w:rPr>
                <w:rFonts w:hint="eastAsia" w:ascii="Times New Roman" w:hAnsi="Times New Roman" w:eastAsia="宋体" w:cs="Times New Roman"/>
                <w:kern w:val="0"/>
                <w:sz w:val="18"/>
                <w:szCs w:val="18"/>
                <w:highlight w:val="none"/>
                <w:lang w:val="en-US" w:eastAsia="zh-CN" w:bidi="ar-SA"/>
              </w:rPr>
            </w:pPr>
            <w:r>
              <w:rPr>
                <w:rFonts w:hint="eastAsia" w:cs="Times New Roman"/>
                <w:kern w:val="0"/>
                <w:sz w:val="18"/>
                <w:szCs w:val="18"/>
                <w:highlight w:val="none"/>
                <w:lang w:val="en-US" w:eastAsia="zh-CN"/>
              </w:rPr>
              <w:t>14143</w:t>
            </w:r>
          </w:p>
        </w:tc>
        <w:tc>
          <w:tcPr>
            <w:tcW w:w="755" w:type="dxa"/>
            <w:vAlign w:val="center"/>
          </w:tcPr>
          <w:p>
            <w:pPr>
              <w:pStyle w:val="13"/>
              <w:spacing w:line="0" w:lineRule="atLeast"/>
              <w:jc w:val="center"/>
              <w:rPr>
                <w:rFonts w:hint="eastAsia" w:ascii="Times New Roman" w:hAnsi="Times New Roman" w:eastAsia="宋体" w:cs="Times New Roman"/>
                <w:kern w:val="2"/>
                <w:sz w:val="18"/>
                <w:szCs w:val="18"/>
                <w:highlight w:val="none"/>
                <w:lang w:val="en-US" w:eastAsia="zh-CN" w:bidi="ar-SA"/>
              </w:rPr>
            </w:pPr>
            <w:r>
              <w:rPr>
                <w:rFonts w:hint="eastAsia" w:cs="Times New Roman"/>
                <w:sz w:val="18"/>
                <w:szCs w:val="18"/>
                <w:highlight w:val="none"/>
                <w:lang w:val="en-US" w:eastAsia="zh-CN"/>
              </w:rPr>
              <w:t>2.0</w:t>
            </w:r>
            <w:r>
              <w:rPr>
                <w:rFonts w:hint="default" w:ascii="Times New Roman" w:hAnsi="Times New Roman" w:cs="Times New Roman"/>
                <w:sz w:val="18"/>
                <w:szCs w:val="18"/>
                <w:highlight w:val="none"/>
              </w:rPr>
              <w:t>≤R≤</w:t>
            </w:r>
            <w:r>
              <w:rPr>
                <w:rFonts w:hint="default" w:ascii="Times New Roman" w:hAnsi="Times New Roman" w:cs="Times New Roman"/>
                <w:sz w:val="18"/>
                <w:szCs w:val="18"/>
                <w:highlight w:val="none"/>
                <w:lang w:val="en-US" w:eastAsia="zh-CN"/>
              </w:rPr>
              <w:t>2.5</w:t>
            </w:r>
          </w:p>
        </w:tc>
        <w:tc>
          <w:tcPr>
            <w:tcW w:w="1000" w:type="dxa"/>
            <w:vAlign w:val="center"/>
          </w:tcPr>
          <w:p>
            <w:pPr>
              <w:pStyle w:val="13"/>
              <w:spacing w:line="0" w:lineRule="atLeast"/>
              <w:jc w:val="center"/>
              <w:rPr>
                <w:rFonts w:hint="eastAsia" w:ascii="Times New Roman" w:hAnsi="Times New Roman" w:eastAsia="宋体" w:cs="Times New Roman"/>
                <w:kern w:val="2"/>
                <w:sz w:val="18"/>
                <w:szCs w:val="18"/>
                <w:highlight w:val="none"/>
                <w:lang w:val="en-US" w:eastAsia="zh-CN" w:bidi="ar-SA"/>
              </w:rPr>
            </w:pPr>
            <w:r>
              <w:rPr>
                <w:rFonts w:hint="eastAsia" w:cs="Times New Roman"/>
                <w:sz w:val="18"/>
                <w:szCs w:val="18"/>
                <w:highlight w:val="none"/>
                <w:lang w:val="en-US" w:eastAsia="zh-CN"/>
              </w:rPr>
              <w:t>28286≤</w:t>
            </w:r>
            <w:r>
              <w:rPr>
                <w:rFonts w:hint="default" w:ascii="Times New Roman" w:hAnsi="Times New Roman" w:cs="Times New Roman"/>
                <w:sz w:val="18"/>
                <w:szCs w:val="18"/>
                <w:highlight w:val="none"/>
              </w:rPr>
              <w:t>S</w:t>
            </w:r>
            <w:r>
              <w:rPr>
                <w:rFonts w:hint="eastAsia" w:cs="Times New Roman"/>
                <w:sz w:val="18"/>
                <w:szCs w:val="18"/>
                <w:highlight w:val="none"/>
                <w:lang w:val="en-US" w:eastAsia="zh-CN"/>
              </w:rPr>
              <w:t>≤35357.5</w:t>
            </w:r>
          </w:p>
        </w:tc>
        <w:tc>
          <w:tcPr>
            <w:tcW w:w="559" w:type="dxa"/>
            <w:vAlign w:val="center"/>
          </w:tcPr>
          <w:p>
            <w:pPr>
              <w:pStyle w:val="13"/>
              <w:spacing w:line="0" w:lineRule="atLeast"/>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cs="Times New Roman"/>
                <w:sz w:val="18"/>
                <w:szCs w:val="18"/>
                <w:highlight w:val="none"/>
              </w:rPr>
              <w:t>≥30</w:t>
            </w:r>
          </w:p>
        </w:tc>
        <w:tc>
          <w:tcPr>
            <w:tcW w:w="747" w:type="dxa"/>
            <w:vAlign w:val="center"/>
          </w:tcPr>
          <w:p>
            <w:pPr>
              <w:pStyle w:val="13"/>
              <w:spacing w:line="0" w:lineRule="atLeast"/>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cs="Times New Roman"/>
                <w:sz w:val="18"/>
                <w:szCs w:val="18"/>
                <w:highlight w:val="none"/>
              </w:rPr>
              <w:t>15≤绿地率≤20</w:t>
            </w:r>
          </w:p>
        </w:tc>
        <w:tc>
          <w:tcPr>
            <w:tcW w:w="854" w:type="dxa"/>
            <w:vAlign w:val="center"/>
          </w:tcPr>
          <w:p>
            <w:pPr>
              <w:pStyle w:val="13"/>
              <w:spacing w:line="0" w:lineRule="atLeast"/>
              <w:jc w:val="center"/>
              <w:rPr>
                <w:rFonts w:hint="default" w:ascii="Times New Roman" w:hAnsi="Times New Roman" w:eastAsia="宋体" w:cs="Times New Roman"/>
                <w:kern w:val="0"/>
                <w:sz w:val="18"/>
                <w:szCs w:val="18"/>
                <w:highlight w:val="none"/>
                <w:lang w:val="en-US" w:eastAsia="zh-CN" w:bidi="ar-SA"/>
              </w:rPr>
            </w:pPr>
            <w:r>
              <w:rPr>
                <w:rFonts w:hint="default" w:ascii="Times New Roman" w:hAnsi="Times New Roman" w:cs="Times New Roman"/>
                <w:kern w:val="0"/>
                <w:sz w:val="18"/>
                <w:szCs w:val="18"/>
                <w:highlight w:val="none"/>
              </w:rPr>
              <w:t>按《规划设计条件告知书》要求配建</w:t>
            </w:r>
          </w:p>
        </w:tc>
        <w:tc>
          <w:tcPr>
            <w:tcW w:w="714" w:type="dxa"/>
            <w:vAlign w:val="center"/>
          </w:tcPr>
          <w:p>
            <w:pPr>
              <w:pStyle w:val="13"/>
              <w:spacing w:line="0" w:lineRule="atLeast"/>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cs="Times New Roman"/>
                <w:sz w:val="18"/>
                <w:szCs w:val="18"/>
                <w:highlight w:val="none"/>
              </w:rPr>
              <w:t>50</w:t>
            </w:r>
          </w:p>
        </w:tc>
        <w:tc>
          <w:tcPr>
            <w:tcW w:w="714" w:type="dxa"/>
            <w:vAlign w:val="center"/>
          </w:tcPr>
          <w:p>
            <w:pPr>
              <w:pStyle w:val="13"/>
              <w:spacing w:line="0" w:lineRule="atLeast"/>
              <w:jc w:val="center"/>
              <w:rPr>
                <w:rFonts w:hint="eastAsia" w:ascii="Times New Roman" w:hAnsi="Times New Roman" w:eastAsia="宋体" w:cs="Times New Roman"/>
                <w:kern w:val="0"/>
                <w:sz w:val="18"/>
                <w:szCs w:val="18"/>
                <w:highlight w:val="none"/>
                <w:lang w:val="en-US" w:eastAsia="zh-CN" w:bidi="ar-SA"/>
              </w:rPr>
            </w:pPr>
            <w:r>
              <w:rPr>
                <w:rFonts w:hint="eastAsia" w:cs="Times New Roman"/>
                <w:kern w:val="0"/>
                <w:sz w:val="18"/>
                <w:szCs w:val="18"/>
                <w:highlight w:val="none"/>
                <w:lang w:val="en-US" w:eastAsia="zh-CN"/>
              </w:rPr>
              <w:t>1264</w:t>
            </w:r>
          </w:p>
        </w:tc>
        <w:tc>
          <w:tcPr>
            <w:tcW w:w="743" w:type="dxa"/>
            <w:vAlign w:val="center"/>
          </w:tcPr>
          <w:p>
            <w:pPr>
              <w:pStyle w:val="13"/>
              <w:spacing w:line="0" w:lineRule="atLeast"/>
              <w:jc w:val="center"/>
              <w:rPr>
                <w:rFonts w:hint="eastAsia" w:ascii="Times New Roman" w:hAnsi="Times New Roman" w:eastAsia="宋体" w:cs="Times New Roman"/>
                <w:kern w:val="2"/>
                <w:sz w:val="18"/>
                <w:szCs w:val="18"/>
                <w:highlight w:val="none"/>
                <w:lang w:val="en-US" w:eastAsia="zh-CN" w:bidi="ar-SA"/>
              </w:rPr>
            </w:pPr>
            <w:r>
              <w:rPr>
                <w:rFonts w:hint="eastAsia" w:cs="Times New Roman"/>
                <w:sz w:val="18"/>
                <w:szCs w:val="18"/>
                <w:highlight w:val="none"/>
                <w:lang w:val="en-US" w:eastAsia="zh-CN"/>
              </w:rPr>
              <w:t>20</w:t>
            </w:r>
          </w:p>
        </w:tc>
        <w:tc>
          <w:tcPr>
            <w:tcW w:w="670" w:type="dxa"/>
            <w:vAlign w:val="center"/>
          </w:tcPr>
          <w:p>
            <w:pPr>
              <w:pStyle w:val="13"/>
              <w:spacing w:line="0" w:lineRule="atLeast"/>
              <w:jc w:val="center"/>
              <w:rPr>
                <w:rFonts w:hint="eastAsia" w:ascii="Times New Roman" w:hAnsi="Times New Roman" w:eastAsia="宋体" w:cs="Times New Roman"/>
                <w:kern w:val="0"/>
                <w:sz w:val="18"/>
                <w:szCs w:val="18"/>
                <w:highlight w:val="none"/>
                <w:lang w:val="en-US" w:eastAsia="zh-CN" w:bidi="ar-SA"/>
              </w:rPr>
            </w:pPr>
            <w:r>
              <w:rPr>
                <w:rFonts w:hint="eastAsia" w:cs="Times New Roman"/>
                <w:kern w:val="0"/>
                <w:sz w:val="18"/>
                <w:szCs w:val="18"/>
                <w:highlight w:val="none"/>
                <w:lang w:val="en-US" w:eastAsia="zh-CN"/>
              </w:rPr>
              <w:t>253</w:t>
            </w:r>
          </w:p>
        </w:tc>
        <w:tc>
          <w:tcPr>
            <w:tcW w:w="772" w:type="dxa"/>
            <w:vAlign w:val="center"/>
          </w:tcPr>
          <w:p>
            <w:pPr>
              <w:pStyle w:val="13"/>
              <w:spacing w:line="0" w:lineRule="atLeast"/>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cs="Times New Roman"/>
                <w:sz w:val="18"/>
                <w:szCs w:val="18"/>
                <w:highlight w:val="none"/>
              </w:rPr>
              <w:t>2023年</w:t>
            </w:r>
            <w:r>
              <w:rPr>
                <w:rFonts w:hint="eastAsia" w:cs="Times New Roman"/>
                <w:sz w:val="18"/>
                <w:szCs w:val="18"/>
                <w:highlight w:val="none"/>
                <w:lang w:val="en-US" w:eastAsia="zh-CN"/>
              </w:rPr>
              <w:t>7</w:t>
            </w:r>
            <w:r>
              <w:rPr>
                <w:rFonts w:hint="default" w:ascii="Times New Roman" w:hAnsi="Times New Roman" w:cs="Times New Roman"/>
                <w:sz w:val="18"/>
                <w:szCs w:val="18"/>
                <w:highlight w:val="none"/>
              </w:rPr>
              <w:t>月</w:t>
            </w:r>
            <w:r>
              <w:rPr>
                <w:rFonts w:hint="eastAsia" w:cs="Times New Roman"/>
                <w:sz w:val="18"/>
                <w:szCs w:val="18"/>
                <w:highlight w:val="none"/>
                <w:lang w:val="en-US" w:eastAsia="zh-CN"/>
              </w:rPr>
              <w:t xml:space="preserve"> 4</w:t>
            </w:r>
            <w:r>
              <w:rPr>
                <w:rFonts w:hint="default" w:ascii="Times New Roman" w:hAnsi="Times New Roman" w:cs="Times New Roman"/>
                <w:sz w:val="18"/>
                <w:szCs w:val="18"/>
                <w:highlight w:val="none"/>
              </w:rPr>
              <w:t>日9时</w:t>
            </w:r>
          </w:p>
        </w:tc>
        <w:tc>
          <w:tcPr>
            <w:tcW w:w="773" w:type="dxa"/>
            <w:vAlign w:val="center"/>
          </w:tcPr>
          <w:p>
            <w:pPr>
              <w:pStyle w:val="13"/>
              <w:spacing w:line="0" w:lineRule="atLeast"/>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cs="Times New Roman"/>
                <w:sz w:val="18"/>
                <w:szCs w:val="18"/>
                <w:highlight w:val="none"/>
              </w:rPr>
              <w:t>≥ 6337元/㎡</w:t>
            </w:r>
          </w:p>
        </w:tc>
        <w:tc>
          <w:tcPr>
            <w:tcW w:w="1230" w:type="dxa"/>
            <w:vAlign w:val="center"/>
          </w:tcPr>
          <w:p>
            <w:pPr>
              <w:pStyle w:val="13"/>
              <w:spacing w:line="0" w:lineRule="atLeast"/>
              <w:jc w:val="center"/>
              <w:rPr>
                <w:rFonts w:hint="default" w:ascii="Times New Roman" w:hAnsi="Times New Roman" w:eastAsia="宋体" w:cs="Times New Roman"/>
                <w:kern w:val="0"/>
                <w:sz w:val="18"/>
                <w:szCs w:val="18"/>
                <w:highlight w:val="none"/>
                <w:lang w:val="en-US" w:eastAsia="zh-CN" w:bidi="ar-SA"/>
              </w:rPr>
            </w:pPr>
            <w:r>
              <w:rPr>
                <w:rFonts w:hint="default" w:ascii="Times New Roman" w:hAnsi="Times New Roman" w:cs="Times New Roman"/>
                <w:kern w:val="0"/>
                <w:sz w:val="18"/>
                <w:szCs w:val="18"/>
                <w:highlight w:val="none"/>
              </w:rPr>
              <w:t>智能制造关键技术装备</w:t>
            </w:r>
          </w:p>
        </w:tc>
        <w:tc>
          <w:tcPr>
            <w:tcW w:w="1095" w:type="dxa"/>
            <w:vAlign w:val="center"/>
          </w:tcPr>
          <w:p>
            <w:pPr>
              <w:pStyle w:val="13"/>
              <w:spacing w:line="0" w:lineRule="atLeast"/>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cs="Times New Roman"/>
                <w:sz w:val="18"/>
                <w:szCs w:val="18"/>
                <w:highlight w:val="none"/>
              </w:rPr>
              <w:t>惠州仲恺高新区管理委员会科技创新和投资促进局</w:t>
            </w:r>
          </w:p>
        </w:tc>
        <w:tc>
          <w:tcPr>
            <w:tcW w:w="1095" w:type="dxa"/>
            <w:vAlign w:val="center"/>
          </w:tcPr>
          <w:p>
            <w:pPr>
              <w:pStyle w:val="13"/>
              <w:spacing w:line="0" w:lineRule="atLeast"/>
              <w:jc w:val="center"/>
              <w:rPr>
                <w:rFonts w:hint="default" w:ascii="Times New Roman" w:hAnsi="Times New Roman" w:eastAsia="宋体" w:cs="Times New Roman"/>
                <w:kern w:val="0"/>
                <w:sz w:val="18"/>
                <w:szCs w:val="18"/>
                <w:highlight w:val="none"/>
                <w:lang w:val="en-US" w:eastAsia="zh-CN" w:bidi="ar-SA"/>
              </w:rPr>
            </w:pPr>
            <w:r>
              <w:rPr>
                <w:rFonts w:hint="default" w:ascii="Times New Roman" w:hAnsi="Times New Roman" w:cs="Times New Roman"/>
                <w:kern w:val="0"/>
                <w:sz w:val="18"/>
                <w:szCs w:val="18"/>
                <w:highlight w:val="none"/>
              </w:rPr>
              <w:t>配建1个垃圾收集点。行政办公及生活服务</w:t>
            </w:r>
            <w:r>
              <w:rPr>
                <w:rFonts w:hint="eastAsia" w:cs="Times New Roman"/>
                <w:kern w:val="0"/>
                <w:sz w:val="18"/>
                <w:szCs w:val="18"/>
                <w:highlight w:val="none"/>
                <w:lang w:val="en-US" w:eastAsia="zh-CN"/>
              </w:rPr>
              <w:t>配套</w:t>
            </w:r>
            <w:r>
              <w:rPr>
                <w:rFonts w:hint="default" w:ascii="Times New Roman" w:hAnsi="Times New Roman" w:cs="Times New Roman"/>
                <w:kern w:val="0"/>
                <w:sz w:val="18"/>
                <w:szCs w:val="18"/>
                <w:highlight w:val="none"/>
              </w:rPr>
              <w:t>设施用地面积不得超过总用地面积的7%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17" w:type="dxa"/>
            <w:vAlign w:val="center"/>
          </w:tcPr>
          <w:p>
            <w:pPr>
              <w:pStyle w:val="13"/>
              <w:spacing w:line="0" w:lineRule="atLeas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惠仲土（用地）挂[2023]0</w:t>
            </w:r>
            <w:r>
              <w:rPr>
                <w:rFonts w:hint="eastAsia" w:cs="Times New Roman"/>
                <w:sz w:val="18"/>
                <w:szCs w:val="18"/>
                <w:highlight w:val="none"/>
                <w:lang w:val="en-US" w:eastAsia="zh-CN"/>
              </w:rPr>
              <w:t>49</w:t>
            </w:r>
            <w:r>
              <w:rPr>
                <w:rFonts w:hint="default" w:ascii="Times New Roman" w:hAnsi="Times New Roman" w:cs="Times New Roman"/>
                <w:sz w:val="18"/>
                <w:szCs w:val="18"/>
                <w:highlight w:val="none"/>
              </w:rPr>
              <w:t>号</w:t>
            </w:r>
          </w:p>
        </w:tc>
        <w:tc>
          <w:tcPr>
            <w:tcW w:w="709" w:type="dxa"/>
            <w:vAlign w:val="center"/>
          </w:tcPr>
          <w:p>
            <w:pPr>
              <w:pStyle w:val="13"/>
              <w:spacing w:line="0" w:lineRule="atLeast"/>
              <w:jc w:val="center"/>
              <w:rPr>
                <w:rFonts w:hint="default" w:ascii="Times New Roman" w:hAnsi="Times New Roman" w:eastAsia="宋体" w:cs="Times New Roman"/>
                <w:kern w:val="0"/>
                <w:sz w:val="18"/>
                <w:szCs w:val="18"/>
                <w:highlight w:val="none"/>
                <w:lang w:val="en-US" w:eastAsia="zh-CN" w:bidi="ar-SA"/>
              </w:rPr>
            </w:pPr>
            <w:r>
              <w:rPr>
                <w:rFonts w:hint="default" w:ascii="Times New Roman" w:hAnsi="Times New Roman" w:cs="Times New Roman"/>
                <w:kern w:val="0"/>
                <w:sz w:val="18"/>
                <w:szCs w:val="18"/>
                <w:highlight w:val="none"/>
              </w:rPr>
              <w:t>惠州潼湖生态智慧区国际合作产业园中区</w:t>
            </w:r>
          </w:p>
        </w:tc>
        <w:tc>
          <w:tcPr>
            <w:tcW w:w="661" w:type="dxa"/>
            <w:vAlign w:val="center"/>
          </w:tcPr>
          <w:p>
            <w:pPr>
              <w:pStyle w:val="13"/>
              <w:spacing w:line="0" w:lineRule="atLeast"/>
              <w:jc w:val="center"/>
              <w:rPr>
                <w:rFonts w:hint="default" w:ascii="Times New Roman" w:hAnsi="Times New Roman" w:eastAsia="宋体" w:cs="Times New Roman"/>
                <w:kern w:val="0"/>
                <w:sz w:val="18"/>
                <w:szCs w:val="18"/>
                <w:highlight w:val="none"/>
                <w:lang w:val="en-US" w:eastAsia="zh-CN" w:bidi="ar-SA"/>
              </w:rPr>
            </w:pPr>
            <w:r>
              <w:rPr>
                <w:rFonts w:hint="default" w:ascii="Times New Roman" w:hAnsi="Times New Roman" w:eastAsia="宋体" w:cs="Times New Roman"/>
                <w:kern w:val="0"/>
                <w:sz w:val="18"/>
                <w:szCs w:val="18"/>
                <w:highlight w:val="none"/>
                <w:lang w:val="en-US" w:eastAsia="zh-CN"/>
              </w:rPr>
              <w:t>ZKD-003-05-01</w:t>
            </w:r>
          </w:p>
        </w:tc>
        <w:tc>
          <w:tcPr>
            <w:tcW w:w="640" w:type="dxa"/>
            <w:vAlign w:val="center"/>
          </w:tcPr>
          <w:p>
            <w:pPr>
              <w:pStyle w:val="13"/>
              <w:spacing w:line="0" w:lineRule="atLeast"/>
              <w:jc w:val="center"/>
              <w:rPr>
                <w:rFonts w:hint="eastAsia" w:ascii="Times New Roman" w:hAnsi="Times New Roman" w:eastAsia="宋体" w:cs="Times New Roman"/>
                <w:kern w:val="0"/>
                <w:sz w:val="18"/>
                <w:szCs w:val="18"/>
                <w:highlight w:val="none"/>
                <w:lang w:val="en-US" w:eastAsia="zh-CN" w:bidi="ar-SA"/>
              </w:rPr>
            </w:pPr>
            <w:r>
              <w:rPr>
                <w:rFonts w:hint="eastAsia" w:cs="Times New Roman"/>
                <w:kern w:val="0"/>
                <w:sz w:val="18"/>
                <w:szCs w:val="18"/>
                <w:highlight w:val="none"/>
                <w:lang w:val="en-US" w:eastAsia="zh-CN"/>
              </w:rPr>
              <w:t>12249（其中使用权面积为11864㎡）</w:t>
            </w:r>
          </w:p>
        </w:tc>
        <w:tc>
          <w:tcPr>
            <w:tcW w:w="487" w:type="dxa"/>
            <w:vAlign w:val="center"/>
          </w:tcPr>
          <w:p>
            <w:pPr>
              <w:pStyle w:val="13"/>
              <w:spacing w:line="0" w:lineRule="atLeast"/>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cs="Times New Roman"/>
                <w:sz w:val="18"/>
                <w:szCs w:val="18"/>
                <w:highlight w:val="none"/>
              </w:rPr>
              <w:t>工业用地</w:t>
            </w:r>
          </w:p>
        </w:tc>
        <w:tc>
          <w:tcPr>
            <w:tcW w:w="695" w:type="dxa"/>
            <w:vAlign w:val="center"/>
          </w:tcPr>
          <w:p>
            <w:pPr>
              <w:pStyle w:val="13"/>
              <w:spacing w:line="0" w:lineRule="atLeast"/>
              <w:jc w:val="center"/>
              <w:rPr>
                <w:rFonts w:hint="eastAsia" w:ascii="Times New Roman" w:hAnsi="Times New Roman" w:eastAsia="宋体" w:cs="Times New Roman"/>
                <w:kern w:val="0"/>
                <w:sz w:val="18"/>
                <w:szCs w:val="18"/>
                <w:highlight w:val="none"/>
                <w:lang w:val="en-US" w:eastAsia="zh-CN" w:bidi="ar-SA"/>
              </w:rPr>
            </w:pPr>
            <w:r>
              <w:rPr>
                <w:rFonts w:hint="eastAsia" w:cs="Times New Roman"/>
                <w:kern w:val="0"/>
                <w:sz w:val="18"/>
                <w:szCs w:val="18"/>
                <w:highlight w:val="none"/>
                <w:lang w:val="en-US" w:eastAsia="zh-CN"/>
              </w:rPr>
              <w:t>12249</w:t>
            </w:r>
          </w:p>
        </w:tc>
        <w:tc>
          <w:tcPr>
            <w:tcW w:w="755" w:type="dxa"/>
            <w:vAlign w:val="center"/>
          </w:tcPr>
          <w:p>
            <w:pPr>
              <w:pStyle w:val="13"/>
              <w:spacing w:line="0" w:lineRule="atLeast"/>
              <w:jc w:val="center"/>
              <w:rPr>
                <w:rFonts w:hint="eastAsia" w:ascii="Times New Roman" w:hAnsi="Times New Roman" w:eastAsia="宋体" w:cs="Times New Roman"/>
                <w:kern w:val="2"/>
                <w:sz w:val="18"/>
                <w:szCs w:val="18"/>
                <w:highlight w:val="none"/>
                <w:lang w:val="en-US" w:eastAsia="zh-CN" w:bidi="ar-SA"/>
              </w:rPr>
            </w:pPr>
            <w:r>
              <w:rPr>
                <w:rFonts w:hint="eastAsia" w:cs="Times New Roman"/>
                <w:sz w:val="18"/>
                <w:szCs w:val="18"/>
                <w:highlight w:val="none"/>
                <w:lang w:val="en-US" w:eastAsia="zh-CN"/>
              </w:rPr>
              <w:t>2.0</w:t>
            </w:r>
            <w:r>
              <w:rPr>
                <w:rFonts w:hint="default" w:ascii="Times New Roman" w:hAnsi="Times New Roman" w:cs="Times New Roman"/>
                <w:sz w:val="18"/>
                <w:szCs w:val="18"/>
                <w:highlight w:val="none"/>
              </w:rPr>
              <w:t>≤R≤</w:t>
            </w:r>
            <w:r>
              <w:rPr>
                <w:rFonts w:hint="default" w:ascii="Times New Roman" w:hAnsi="Times New Roman" w:cs="Times New Roman"/>
                <w:sz w:val="18"/>
                <w:szCs w:val="18"/>
                <w:highlight w:val="none"/>
                <w:lang w:val="en-US" w:eastAsia="zh-CN"/>
              </w:rPr>
              <w:t>2.5</w:t>
            </w:r>
          </w:p>
        </w:tc>
        <w:tc>
          <w:tcPr>
            <w:tcW w:w="1000" w:type="dxa"/>
            <w:vAlign w:val="center"/>
          </w:tcPr>
          <w:p>
            <w:pPr>
              <w:pStyle w:val="13"/>
              <w:spacing w:line="0" w:lineRule="atLeast"/>
              <w:jc w:val="center"/>
              <w:rPr>
                <w:rFonts w:hint="eastAsia" w:ascii="Times New Roman" w:hAnsi="Times New Roman" w:eastAsia="宋体" w:cs="Times New Roman"/>
                <w:kern w:val="2"/>
                <w:sz w:val="18"/>
                <w:szCs w:val="18"/>
                <w:highlight w:val="none"/>
                <w:lang w:val="en-US" w:eastAsia="zh-CN" w:bidi="ar-SA"/>
              </w:rPr>
            </w:pPr>
            <w:r>
              <w:rPr>
                <w:rFonts w:hint="eastAsia" w:cs="Times New Roman"/>
                <w:sz w:val="18"/>
                <w:szCs w:val="18"/>
                <w:highlight w:val="none"/>
                <w:lang w:val="en-US" w:eastAsia="zh-CN"/>
              </w:rPr>
              <w:t>24498≤</w:t>
            </w:r>
            <w:r>
              <w:rPr>
                <w:rFonts w:hint="default" w:ascii="Times New Roman" w:hAnsi="Times New Roman" w:cs="Times New Roman"/>
                <w:sz w:val="18"/>
                <w:szCs w:val="18"/>
                <w:highlight w:val="none"/>
              </w:rPr>
              <w:t>S</w:t>
            </w:r>
            <w:r>
              <w:rPr>
                <w:rFonts w:hint="eastAsia" w:cs="Times New Roman"/>
                <w:sz w:val="18"/>
                <w:szCs w:val="18"/>
                <w:highlight w:val="none"/>
                <w:lang w:val="en-US" w:eastAsia="zh-CN"/>
              </w:rPr>
              <w:t>≤30623</w:t>
            </w:r>
          </w:p>
        </w:tc>
        <w:tc>
          <w:tcPr>
            <w:tcW w:w="559" w:type="dxa"/>
            <w:vAlign w:val="center"/>
          </w:tcPr>
          <w:p>
            <w:pPr>
              <w:pStyle w:val="13"/>
              <w:spacing w:line="0" w:lineRule="atLeast"/>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cs="Times New Roman"/>
                <w:sz w:val="18"/>
                <w:szCs w:val="18"/>
                <w:highlight w:val="none"/>
              </w:rPr>
              <w:t>≥30</w:t>
            </w:r>
          </w:p>
        </w:tc>
        <w:tc>
          <w:tcPr>
            <w:tcW w:w="747" w:type="dxa"/>
            <w:vAlign w:val="center"/>
          </w:tcPr>
          <w:p>
            <w:pPr>
              <w:pStyle w:val="13"/>
              <w:spacing w:line="0" w:lineRule="atLeast"/>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cs="Times New Roman"/>
                <w:sz w:val="18"/>
                <w:szCs w:val="18"/>
                <w:highlight w:val="none"/>
              </w:rPr>
              <w:t>15≤绿地率≤20</w:t>
            </w:r>
          </w:p>
        </w:tc>
        <w:tc>
          <w:tcPr>
            <w:tcW w:w="854" w:type="dxa"/>
            <w:vAlign w:val="center"/>
          </w:tcPr>
          <w:p>
            <w:pPr>
              <w:pStyle w:val="13"/>
              <w:spacing w:line="0" w:lineRule="atLeast"/>
              <w:jc w:val="center"/>
              <w:rPr>
                <w:rFonts w:hint="default" w:ascii="Times New Roman" w:hAnsi="Times New Roman" w:eastAsia="宋体" w:cs="Times New Roman"/>
                <w:kern w:val="0"/>
                <w:sz w:val="18"/>
                <w:szCs w:val="18"/>
                <w:highlight w:val="none"/>
                <w:lang w:val="en-US" w:eastAsia="zh-CN" w:bidi="ar-SA"/>
              </w:rPr>
            </w:pPr>
            <w:r>
              <w:rPr>
                <w:rFonts w:hint="default" w:ascii="Times New Roman" w:hAnsi="Times New Roman" w:cs="Times New Roman"/>
                <w:kern w:val="0"/>
                <w:sz w:val="18"/>
                <w:szCs w:val="18"/>
                <w:highlight w:val="none"/>
              </w:rPr>
              <w:t>按《规划设计条件告知书》要求配建</w:t>
            </w:r>
          </w:p>
        </w:tc>
        <w:tc>
          <w:tcPr>
            <w:tcW w:w="714" w:type="dxa"/>
            <w:vAlign w:val="center"/>
          </w:tcPr>
          <w:p>
            <w:pPr>
              <w:pStyle w:val="13"/>
              <w:spacing w:line="0" w:lineRule="atLeast"/>
              <w:jc w:val="center"/>
              <w:rPr>
                <w:rFonts w:hint="default" w:ascii="Times New Roman" w:hAnsi="Times New Roman" w:eastAsia="宋体" w:cs="Times New Roman"/>
                <w:kern w:val="2"/>
                <w:sz w:val="18"/>
                <w:szCs w:val="18"/>
                <w:highlight w:val="none"/>
                <w:lang w:val="en-US" w:eastAsia="zh-CN" w:bidi="ar-SA"/>
              </w:rPr>
            </w:pPr>
            <w:r>
              <w:rPr>
                <w:rFonts w:hint="eastAsia" w:cs="Times New Roman"/>
                <w:sz w:val="18"/>
                <w:szCs w:val="18"/>
                <w:highlight w:val="none"/>
                <w:lang w:val="en-US" w:eastAsia="zh-CN"/>
              </w:rPr>
              <w:t>50</w:t>
            </w:r>
          </w:p>
        </w:tc>
        <w:tc>
          <w:tcPr>
            <w:tcW w:w="714" w:type="dxa"/>
            <w:vAlign w:val="center"/>
          </w:tcPr>
          <w:p>
            <w:pPr>
              <w:pStyle w:val="13"/>
              <w:spacing w:line="0" w:lineRule="atLeast"/>
              <w:jc w:val="center"/>
              <w:rPr>
                <w:rFonts w:hint="eastAsia" w:ascii="Times New Roman" w:hAnsi="Times New Roman" w:eastAsia="宋体" w:cs="Times New Roman"/>
                <w:kern w:val="0"/>
                <w:sz w:val="18"/>
                <w:szCs w:val="18"/>
                <w:highlight w:val="none"/>
                <w:lang w:val="en-US" w:eastAsia="zh-CN" w:bidi="ar-SA"/>
              </w:rPr>
            </w:pPr>
            <w:r>
              <w:rPr>
                <w:rFonts w:hint="eastAsia" w:cs="Times New Roman"/>
                <w:kern w:val="0"/>
                <w:sz w:val="18"/>
                <w:szCs w:val="18"/>
                <w:highlight w:val="none"/>
                <w:lang w:val="en-US" w:eastAsia="zh-CN"/>
              </w:rPr>
              <w:t>936</w:t>
            </w:r>
          </w:p>
        </w:tc>
        <w:tc>
          <w:tcPr>
            <w:tcW w:w="743" w:type="dxa"/>
            <w:vAlign w:val="center"/>
          </w:tcPr>
          <w:p>
            <w:pPr>
              <w:pStyle w:val="13"/>
              <w:spacing w:line="0" w:lineRule="atLeast"/>
              <w:jc w:val="center"/>
              <w:rPr>
                <w:rFonts w:hint="eastAsia" w:ascii="Times New Roman" w:hAnsi="Times New Roman" w:eastAsia="宋体" w:cs="Times New Roman"/>
                <w:kern w:val="2"/>
                <w:sz w:val="18"/>
                <w:szCs w:val="18"/>
                <w:highlight w:val="none"/>
                <w:lang w:val="en-US" w:eastAsia="zh-CN" w:bidi="ar-SA"/>
              </w:rPr>
            </w:pPr>
            <w:r>
              <w:rPr>
                <w:rFonts w:hint="eastAsia" w:cs="Times New Roman"/>
                <w:sz w:val="18"/>
                <w:szCs w:val="18"/>
                <w:highlight w:val="none"/>
                <w:lang w:val="en-US" w:eastAsia="zh-CN"/>
              </w:rPr>
              <w:t>10</w:t>
            </w:r>
          </w:p>
        </w:tc>
        <w:tc>
          <w:tcPr>
            <w:tcW w:w="670" w:type="dxa"/>
            <w:vAlign w:val="center"/>
          </w:tcPr>
          <w:p>
            <w:pPr>
              <w:pStyle w:val="13"/>
              <w:spacing w:line="0" w:lineRule="atLeast"/>
              <w:jc w:val="center"/>
              <w:rPr>
                <w:rFonts w:hint="eastAsia" w:ascii="Times New Roman" w:hAnsi="Times New Roman" w:eastAsia="宋体" w:cs="Times New Roman"/>
                <w:kern w:val="0"/>
                <w:sz w:val="18"/>
                <w:szCs w:val="18"/>
                <w:highlight w:val="none"/>
                <w:lang w:val="en-US" w:eastAsia="zh-CN" w:bidi="ar-SA"/>
              </w:rPr>
            </w:pPr>
            <w:r>
              <w:rPr>
                <w:rFonts w:hint="eastAsia" w:cs="Times New Roman"/>
                <w:kern w:val="0"/>
                <w:sz w:val="18"/>
                <w:szCs w:val="18"/>
                <w:highlight w:val="none"/>
                <w:lang w:val="en-US" w:eastAsia="zh-CN"/>
              </w:rPr>
              <w:t>188</w:t>
            </w:r>
          </w:p>
        </w:tc>
        <w:tc>
          <w:tcPr>
            <w:tcW w:w="772" w:type="dxa"/>
            <w:vAlign w:val="center"/>
          </w:tcPr>
          <w:p>
            <w:pPr>
              <w:pStyle w:val="13"/>
              <w:spacing w:line="0" w:lineRule="atLeast"/>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cs="Times New Roman"/>
                <w:sz w:val="18"/>
                <w:szCs w:val="18"/>
                <w:highlight w:val="none"/>
              </w:rPr>
              <w:t>2023年</w:t>
            </w:r>
            <w:r>
              <w:rPr>
                <w:rFonts w:hint="eastAsia" w:cs="Times New Roman"/>
                <w:sz w:val="18"/>
                <w:szCs w:val="18"/>
                <w:highlight w:val="none"/>
                <w:lang w:val="en-US" w:eastAsia="zh-CN"/>
              </w:rPr>
              <w:t>7</w:t>
            </w:r>
            <w:r>
              <w:rPr>
                <w:rFonts w:hint="default" w:ascii="Times New Roman" w:hAnsi="Times New Roman" w:cs="Times New Roman"/>
                <w:sz w:val="18"/>
                <w:szCs w:val="18"/>
                <w:highlight w:val="none"/>
              </w:rPr>
              <w:t>月</w:t>
            </w:r>
            <w:r>
              <w:rPr>
                <w:rFonts w:hint="eastAsia" w:cs="Times New Roman"/>
                <w:sz w:val="18"/>
                <w:szCs w:val="18"/>
                <w:highlight w:val="none"/>
                <w:lang w:val="en-US" w:eastAsia="zh-CN"/>
              </w:rPr>
              <w:t xml:space="preserve"> 4</w:t>
            </w:r>
            <w:bookmarkStart w:id="0" w:name="_GoBack"/>
            <w:bookmarkEnd w:id="0"/>
            <w:r>
              <w:rPr>
                <w:rFonts w:hint="default" w:ascii="Times New Roman" w:hAnsi="Times New Roman" w:cs="Times New Roman"/>
                <w:sz w:val="18"/>
                <w:szCs w:val="18"/>
                <w:highlight w:val="none"/>
              </w:rPr>
              <w:t>日9时</w:t>
            </w:r>
          </w:p>
        </w:tc>
        <w:tc>
          <w:tcPr>
            <w:tcW w:w="773" w:type="dxa"/>
            <w:vAlign w:val="center"/>
          </w:tcPr>
          <w:p>
            <w:pPr>
              <w:pStyle w:val="13"/>
              <w:spacing w:line="0" w:lineRule="atLeast"/>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cs="Times New Roman"/>
                <w:sz w:val="18"/>
                <w:szCs w:val="18"/>
                <w:highlight w:val="none"/>
              </w:rPr>
              <w:t>≥</w:t>
            </w:r>
            <w:r>
              <w:rPr>
                <w:rFonts w:hint="eastAsia" w:cs="Times New Roman"/>
                <w:sz w:val="18"/>
                <w:szCs w:val="18"/>
                <w:highlight w:val="none"/>
                <w:lang w:val="en-US" w:eastAsia="zh-CN"/>
              </w:rPr>
              <w:t>10000</w:t>
            </w:r>
            <w:r>
              <w:rPr>
                <w:rFonts w:hint="default" w:ascii="Times New Roman" w:hAnsi="Times New Roman" w:cs="Times New Roman"/>
                <w:sz w:val="18"/>
                <w:szCs w:val="18"/>
                <w:highlight w:val="none"/>
              </w:rPr>
              <w:t>元/㎡</w:t>
            </w:r>
          </w:p>
        </w:tc>
        <w:tc>
          <w:tcPr>
            <w:tcW w:w="1230" w:type="dxa"/>
            <w:vAlign w:val="center"/>
          </w:tcPr>
          <w:p>
            <w:pPr>
              <w:pStyle w:val="13"/>
              <w:spacing w:line="0" w:lineRule="atLeast"/>
              <w:jc w:val="center"/>
              <w:rPr>
                <w:rFonts w:hint="default" w:ascii="Times New Roman" w:hAnsi="Times New Roman" w:eastAsia="宋体" w:cs="Times New Roman"/>
                <w:kern w:val="0"/>
                <w:sz w:val="18"/>
                <w:szCs w:val="18"/>
                <w:highlight w:val="none"/>
                <w:lang w:val="en-US" w:eastAsia="zh-CN" w:bidi="ar-SA"/>
              </w:rPr>
            </w:pPr>
            <w:r>
              <w:rPr>
                <w:rFonts w:hint="default" w:ascii="Times New Roman" w:hAnsi="Times New Roman" w:cs="Times New Roman"/>
                <w:kern w:val="0"/>
                <w:sz w:val="18"/>
                <w:szCs w:val="18"/>
                <w:highlight w:val="none"/>
              </w:rPr>
              <w:t>智能装备系统集成化技术及应用</w:t>
            </w:r>
          </w:p>
        </w:tc>
        <w:tc>
          <w:tcPr>
            <w:tcW w:w="1095" w:type="dxa"/>
            <w:vAlign w:val="center"/>
          </w:tcPr>
          <w:p>
            <w:pPr>
              <w:pStyle w:val="13"/>
              <w:spacing w:line="0" w:lineRule="atLeast"/>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cs="Times New Roman"/>
                <w:sz w:val="18"/>
                <w:szCs w:val="18"/>
                <w:highlight w:val="none"/>
                <w:lang w:eastAsia="zh-CN"/>
              </w:rPr>
              <w:t>惠州</w:t>
            </w:r>
            <w:r>
              <w:rPr>
                <w:rFonts w:hint="default" w:ascii="Times New Roman" w:hAnsi="Times New Roman" w:cs="Times New Roman"/>
                <w:sz w:val="18"/>
                <w:szCs w:val="18"/>
                <w:highlight w:val="none"/>
                <w:lang w:val="en-US" w:eastAsia="zh-CN"/>
              </w:rPr>
              <w:t>潼湖生态智慧区管理委员会</w:t>
            </w:r>
          </w:p>
        </w:tc>
        <w:tc>
          <w:tcPr>
            <w:tcW w:w="1095" w:type="dxa"/>
            <w:vAlign w:val="center"/>
          </w:tcPr>
          <w:p>
            <w:pPr>
              <w:pStyle w:val="13"/>
              <w:spacing w:line="0" w:lineRule="atLeast"/>
              <w:jc w:val="center"/>
              <w:rPr>
                <w:rFonts w:hint="default" w:ascii="Times New Roman" w:hAnsi="Times New Roman" w:eastAsia="宋体" w:cs="Times New Roman"/>
                <w:kern w:val="0"/>
                <w:sz w:val="18"/>
                <w:szCs w:val="18"/>
                <w:highlight w:val="none"/>
                <w:lang w:val="en-US" w:eastAsia="zh-CN" w:bidi="ar-SA"/>
              </w:rPr>
            </w:pPr>
            <w:r>
              <w:rPr>
                <w:rFonts w:hint="default" w:ascii="Times New Roman" w:hAnsi="Times New Roman" w:cs="Times New Roman"/>
                <w:kern w:val="0"/>
                <w:sz w:val="18"/>
                <w:szCs w:val="18"/>
                <w:highlight w:val="none"/>
              </w:rPr>
              <w:t>配建1个5G通信基站，每处基站建筑面积≥35㎡。行政办公及生活服务配套设施用地面积不得超过总用地面积的7%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17" w:type="dxa"/>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惠仲土（用地）挂[2023]0</w:t>
            </w:r>
            <w:r>
              <w:rPr>
                <w:rFonts w:hint="eastAsia" w:cs="Times New Roman"/>
                <w:sz w:val="18"/>
                <w:szCs w:val="18"/>
                <w:lang w:val="en-US" w:eastAsia="zh-CN"/>
              </w:rPr>
              <w:t>50</w:t>
            </w:r>
            <w:r>
              <w:rPr>
                <w:rFonts w:hint="default" w:ascii="Times New Roman" w:hAnsi="Times New Roman" w:cs="Times New Roman"/>
                <w:sz w:val="18"/>
                <w:szCs w:val="18"/>
              </w:rPr>
              <w:t>号</w:t>
            </w:r>
          </w:p>
        </w:tc>
        <w:tc>
          <w:tcPr>
            <w:tcW w:w="709"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惠州潼湖生态智慧区国际合作产业园西区</w:t>
            </w:r>
          </w:p>
        </w:tc>
        <w:tc>
          <w:tcPr>
            <w:tcW w:w="661"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rPr>
              <w:t>ZKD-007-13-02</w:t>
            </w:r>
          </w:p>
        </w:tc>
        <w:tc>
          <w:tcPr>
            <w:tcW w:w="640" w:type="dxa"/>
            <w:vAlign w:val="center"/>
          </w:tcPr>
          <w:p>
            <w:pPr>
              <w:pStyle w:val="13"/>
              <w:spacing w:line="0" w:lineRule="atLeast"/>
              <w:jc w:val="center"/>
              <w:rPr>
                <w:rFonts w:hint="eastAsia"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rPr>
              <w:t>3571</w:t>
            </w:r>
            <w:r>
              <w:rPr>
                <w:rFonts w:hint="default" w:ascii="Times New Roman" w:hAnsi="Times New Roman" w:cs="Times New Roman"/>
                <w:kern w:val="0"/>
                <w:sz w:val="18"/>
                <w:szCs w:val="18"/>
              </w:rPr>
              <w:t>（其中使用权面积为</w:t>
            </w:r>
            <w:r>
              <w:rPr>
                <w:rFonts w:hint="eastAsia" w:cs="Times New Roman"/>
                <w:kern w:val="0"/>
                <w:sz w:val="18"/>
                <w:szCs w:val="18"/>
                <w:lang w:val="en-US" w:eastAsia="zh-CN"/>
              </w:rPr>
              <w:t>2720</w:t>
            </w:r>
            <w:r>
              <w:rPr>
                <w:rFonts w:hint="default" w:ascii="Times New Roman" w:hAnsi="Times New Roman" w:cs="Times New Roman"/>
                <w:kern w:val="0"/>
                <w:sz w:val="18"/>
                <w:szCs w:val="18"/>
              </w:rPr>
              <w:t>㎡）</w:t>
            </w:r>
          </w:p>
        </w:tc>
        <w:tc>
          <w:tcPr>
            <w:tcW w:w="487"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工业用地</w:t>
            </w:r>
          </w:p>
        </w:tc>
        <w:tc>
          <w:tcPr>
            <w:tcW w:w="695" w:type="dxa"/>
            <w:vAlign w:val="center"/>
          </w:tcPr>
          <w:p>
            <w:pPr>
              <w:pStyle w:val="13"/>
              <w:spacing w:line="0" w:lineRule="atLeast"/>
              <w:jc w:val="center"/>
              <w:rPr>
                <w:rFonts w:hint="eastAsia"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rPr>
              <w:t>3571</w:t>
            </w:r>
          </w:p>
        </w:tc>
        <w:tc>
          <w:tcPr>
            <w:tcW w:w="755" w:type="dxa"/>
            <w:vAlign w:val="center"/>
          </w:tcPr>
          <w:p>
            <w:pPr>
              <w:pStyle w:val="13"/>
              <w:spacing w:line="0" w:lineRule="atLeast"/>
              <w:jc w:val="center"/>
              <w:rPr>
                <w:rFonts w:hint="eastAsia" w:ascii="Times New Roman" w:hAnsi="Times New Roman" w:eastAsia="宋体" w:cs="Times New Roman"/>
                <w:kern w:val="2"/>
                <w:sz w:val="18"/>
                <w:szCs w:val="18"/>
                <w:lang w:val="en-US" w:eastAsia="zh-CN" w:bidi="ar-SA"/>
              </w:rPr>
            </w:pPr>
            <w:r>
              <w:rPr>
                <w:rFonts w:hint="eastAsia" w:cs="Times New Roman"/>
                <w:sz w:val="18"/>
                <w:szCs w:val="18"/>
                <w:lang w:val="en-US" w:eastAsia="zh-CN"/>
              </w:rPr>
              <w:t>2.0</w:t>
            </w:r>
            <w:r>
              <w:rPr>
                <w:rFonts w:hint="default" w:ascii="Times New Roman" w:hAnsi="Times New Roman" w:cs="Times New Roman"/>
                <w:sz w:val="18"/>
                <w:szCs w:val="18"/>
              </w:rPr>
              <w:t>≤R≤</w:t>
            </w:r>
            <w:r>
              <w:rPr>
                <w:rFonts w:hint="eastAsia" w:cs="Times New Roman"/>
                <w:sz w:val="18"/>
                <w:szCs w:val="18"/>
                <w:lang w:val="en-US" w:eastAsia="zh-CN"/>
              </w:rPr>
              <w:t>3.5</w:t>
            </w:r>
          </w:p>
        </w:tc>
        <w:tc>
          <w:tcPr>
            <w:tcW w:w="1000" w:type="dxa"/>
            <w:vAlign w:val="center"/>
          </w:tcPr>
          <w:p>
            <w:pPr>
              <w:pStyle w:val="13"/>
              <w:spacing w:line="0" w:lineRule="atLeast"/>
              <w:jc w:val="center"/>
              <w:rPr>
                <w:rFonts w:hint="eastAsia" w:ascii="Times New Roman" w:hAnsi="Times New Roman" w:eastAsia="宋体" w:cs="Times New Roman"/>
                <w:kern w:val="2"/>
                <w:sz w:val="18"/>
                <w:szCs w:val="18"/>
                <w:lang w:val="en-US" w:eastAsia="zh-CN" w:bidi="ar-SA"/>
              </w:rPr>
            </w:pPr>
            <w:r>
              <w:rPr>
                <w:rFonts w:hint="eastAsia" w:cs="Times New Roman"/>
                <w:sz w:val="18"/>
                <w:szCs w:val="18"/>
                <w:lang w:val="en-US" w:eastAsia="zh-CN"/>
              </w:rPr>
              <w:t>7142</w:t>
            </w:r>
            <w:r>
              <w:rPr>
                <w:rFonts w:hint="default" w:ascii="Times New Roman" w:hAnsi="Times New Roman" w:cs="Times New Roman"/>
                <w:sz w:val="18"/>
                <w:szCs w:val="18"/>
              </w:rPr>
              <w:t>≤S≤</w:t>
            </w:r>
            <w:r>
              <w:rPr>
                <w:rFonts w:hint="eastAsia" w:cs="Times New Roman"/>
                <w:sz w:val="18"/>
                <w:szCs w:val="18"/>
                <w:lang w:val="en-US" w:eastAsia="zh-CN"/>
              </w:rPr>
              <w:t>12499</w:t>
            </w:r>
          </w:p>
        </w:tc>
        <w:tc>
          <w:tcPr>
            <w:tcW w:w="559"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≥30</w:t>
            </w:r>
          </w:p>
        </w:tc>
        <w:tc>
          <w:tcPr>
            <w:tcW w:w="747"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15≤绿地率≤20</w:t>
            </w:r>
          </w:p>
        </w:tc>
        <w:tc>
          <w:tcPr>
            <w:tcW w:w="854"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按《规划设计条件告知书》要求配建</w:t>
            </w:r>
          </w:p>
        </w:tc>
        <w:tc>
          <w:tcPr>
            <w:tcW w:w="714"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47</w:t>
            </w:r>
          </w:p>
        </w:tc>
        <w:tc>
          <w:tcPr>
            <w:tcW w:w="714" w:type="dxa"/>
            <w:vAlign w:val="center"/>
          </w:tcPr>
          <w:p>
            <w:pPr>
              <w:pStyle w:val="13"/>
              <w:spacing w:line="0" w:lineRule="atLeast"/>
              <w:jc w:val="center"/>
              <w:rPr>
                <w:rFonts w:hint="eastAsia"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rPr>
              <w:t>405</w:t>
            </w:r>
          </w:p>
        </w:tc>
        <w:tc>
          <w:tcPr>
            <w:tcW w:w="743" w:type="dxa"/>
            <w:vAlign w:val="center"/>
          </w:tcPr>
          <w:p>
            <w:pPr>
              <w:pStyle w:val="13"/>
              <w:spacing w:line="0" w:lineRule="atLeast"/>
              <w:jc w:val="center"/>
              <w:rPr>
                <w:rFonts w:hint="eastAsia" w:ascii="Times New Roman" w:hAnsi="Times New Roman" w:eastAsia="宋体" w:cs="Times New Roman"/>
                <w:kern w:val="2"/>
                <w:sz w:val="18"/>
                <w:szCs w:val="18"/>
                <w:lang w:val="en-US" w:eastAsia="zh-CN" w:bidi="ar-SA"/>
              </w:rPr>
            </w:pPr>
            <w:r>
              <w:rPr>
                <w:rFonts w:hint="eastAsia" w:cs="Times New Roman"/>
                <w:sz w:val="18"/>
                <w:szCs w:val="18"/>
                <w:lang w:val="en-US" w:eastAsia="zh-CN"/>
              </w:rPr>
              <w:t>10</w:t>
            </w:r>
          </w:p>
        </w:tc>
        <w:tc>
          <w:tcPr>
            <w:tcW w:w="670" w:type="dxa"/>
            <w:vAlign w:val="center"/>
          </w:tcPr>
          <w:p>
            <w:pPr>
              <w:pStyle w:val="13"/>
              <w:spacing w:line="0" w:lineRule="atLeast"/>
              <w:jc w:val="center"/>
              <w:rPr>
                <w:rFonts w:hint="eastAsia"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rPr>
              <w:t>81</w:t>
            </w:r>
          </w:p>
        </w:tc>
        <w:tc>
          <w:tcPr>
            <w:tcW w:w="772"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2023年</w:t>
            </w:r>
            <w:r>
              <w:rPr>
                <w:rFonts w:hint="eastAsia" w:cs="Times New Roman"/>
                <w:sz w:val="18"/>
                <w:szCs w:val="18"/>
                <w:lang w:val="en-US" w:eastAsia="zh-CN"/>
              </w:rPr>
              <w:t>7</w:t>
            </w:r>
            <w:r>
              <w:rPr>
                <w:rFonts w:hint="default" w:ascii="Times New Roman" w:hAnsi="Times New Roman" w:cs="Times New Roman"/>
                <w:sz w:val="18"/>
                <w:szCs w:val="18"/>
              </w:rPr>
              <w:t>月</w:t>
            </w:r>
            <w:r>
              <w:rPr>
                <w:rFonts w:hint="eastAsia" w:cs="Times New Roman"/>
                <w:sz w:val="18"/>
                <w:szCs w:val="18"/>
                <w:lang w:val="en-US" w:eastAsia="zh-CN"/>
              </w:rPr>
              <w:t xml:space="preserve"> 4</w:t>
            </w:r>
            <w:r>
              <w:rPr>
                <w:rFonts w:hint="default" w:ascii="Times New Roman" w:hAnsi="Times New Roman" w:cs="Times New Roman"/>
                <w:sz w:val="18"/>
                <w:szCs w:val="18"/>
              </w:rPr>
              <w:t>日9时</w:t>
            </w:r>
          </w:p>
        </w:tc>
        <w:tc>
          <w:tcPr>
            <w:tcW w:w="773"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w:t>
            </w:r>
            <w:r>
              <w:rPr>
                <w:rFonts w:hint="eastAsia" w:cs="Times New Roman"/>
                <w:sz w:val="18"/>
                <w:szCs w:val="18"/>
                <w:lang w:val="en-US" w:eastAsia="zh-CN"/>
              </w:rPr>
              <w:t>10000</w:t>
            </w:r>
            <w:r>
              <w:rPr>
                <w:rFonts w:hint="default" w:ascii="Times New Roman" w:hAnsi="Times New Roman" w:cs="Times New Roman"/>
                <w:sz w:val="18"/>
                <w:szCs w:val="18"/>
              </w:rPr>
              <w:t>元/㎡</w:t>
            </w:r>
          </w:p>
        </w:tc>
        <w:tc>
          <w:tcPr>
            <w:tcW w:w="1230"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智能建筑产品与设备的生产制造与集成技术研究</w:t>
            </w:r>
          </w:p>
        </w:tc>
        <w:tc>
          <w:tcPr>
            <w:tcW w:w="1095" w:type="dxa"/>
            <w:vAlign w:val="center"/>
          </w:tcPr>
          <w:p>
            <w:pPr>
              <w:pStyle w:val="13"/>
              <w:spacing w:line="0" w:lineRule="atLeas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惠州潼湖生态智慧区管理委员会</w:t>
            </w:r>
          </w:p>
        </w:tc>
        <w:tc>
          <w:tcPr>
            <w:tcW w:w="1095" w:type="dxa"/>
            <w:vAlign w:val="center"/>
          </w:tcPr>
          <w:p>
            <w:pPr>
              <w:pStyle w:val="13"/>
              <w:spacing w:line="0" w:lineRule="atLeast"/>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行政办公及生活服务</w:t>
            </w:r>
            <w:r>
              <w:rPr>
                <w:rFonts w:hint="eastAsia" w:cs="Times New Roman"/>
                <w:kern w:val="0"/>
                <w:sz w:val="18"/>
                <w:szCs w:val="18"/>
                <w:lang w:val="en-US" w:eastAsia="zh-CN"/>
              </w:rPr>
              <w:t>配套</w:t>
            </w:r>
            <w:r>
              <w:rPr>
                <w:rFonts w:hint="default" w:ascii="Times New Roman" w:hAnsi="Times New Roman" w:cs="Times New Roman"/>
                <w:kern w:val="0"/>
                <w:sz w:val="18"/>
                <w:szCs w:val="18"/>
              </w:rPr>
              <w:t>设施用地面积不得超过总用地面积的7%</w:t>
            </w:r>
          </w:p>
        </w:tc>
      </w:tr>
    </w:tbl>
    <w:p/>
    <w:p>
      <w:pPr>
        <w:pStyle w:val="2"/>
      </w:pPr>
    </w:p>
    <w:p/>
    <w:p>
      <w:pPr>
        <w:pStyle w:val="6"/>
        <w:keepNext w:val="0"/>
        <w:keepLines w:val="0"/>
        <w:widowControl/>
        <w:suppressLineNumbers w:val="0"/>
        <w:spacing w:line="555" w:lineRule="atLeast"/>
        <w:jc w:val="center"/>
      </w:pPr>
      <w:r>
        <w:rPr>
          <w:rFonts w:hint="eastAsia" w:ascii="宋体" w:hAnsi="宋体" w:eastAsia="宋体" w:cs="宋体"/>
          <w:color w:val="000000"/>
          <w:spacing w:val="15"/>
          <w:sz w:val="43"/>
          <w:szCs w:val="43"/>
          <w:bdr w:val="none" w:color="auto" w:sz="0" w:space="0"/>
        </w:rPr>
        <w:t>惠州仲恺高新区国有建设用地使用权</w:t>
      </w:r>
    </w:p>
    <w:p>
      <w:pPr>
        <w:pStyle w:val="6"/>
        <w:keepNext w:val="0"/>
        <w:keepLines w:val="0"/>
        <w:widowControl/>
        <w:suppressLineNumbers w:val="0"/>
        <w:spacing w:before="210" w:beforeAutospacing="0" w:after="210" w:afterAutospacing="0" w:line="645" w:lineRule="atLeast"/>
        <w:ind w:left="0" w:right="0"/>
        <w:jc w:val="center"/>
      </w:pPr>
      <w:r>
        <w:rPr>
          <w:rFonts w:hint="eastAsia" w:ascii="宋体" w:hAnsi="宋体" w:eastAsia="宋体" w:cs="宋体"/>
          <w:spacing w:val="15"/>
          <w:sz w:val="43"/>
          <w:szCs w:val="43"/>
        </w:rPr>
        <w:t>网上挂牌出让公告</w:t>
      </w:r>
    </w:p>
    <w:p>
      <w:pPr>
        <w:pStyle w:val="6"/>
        <w:keepNext w:val="0"/>
        <w:keepLines w:val="0"/>
        <w:widowControl/>
        <w:suppressLineNumbers w:val="0"/>
        <w:spacing w:line="615" w:lineRule="atLeast"/>
        <w:jc w:val="center"/>
      </w:pPr>
      <w:r>
        <w:rPr>
          <w:rFonts w:hint="eastAsia" w:ascii="宋体" w:hAnsi="宋体" w:eastAsia="宋体" w:cs="宋体"/>
          <w:sz w:val="31"/>
          <w:szCs w:val="31"/>
          <w:bdr w:val="none" w:color="auto" w:sz="0" w:space="0"/>
        </w:rPr>
        <w:t>惠仲土挂告[2023]019号</w:t>
      </w:r>
    </w:p>
    <w:p>
      <w:pPr>
        <w:pStyle w:val="6"/>
        <w:keepNext w:val="0"/>
        <w:keepLines w:val="0"/>
        <w:widowControl/>
        <w:suppressLineNumbers w:val="0"/>
        <w:spacing w:line="555" w:lineRule="atLeast"/>
        <w:ind w:left="0" w:firstLine="645"/>
      </w:pPr>
      <w:r>
        <w:rPr>
          <w:rFonts w:hint="eastAsia" w:ascii="宋体" w:hAnsi="宋体" w:eastAsia="宋体" w:cs="宋体"/>
          <w:sz w:val="31"/>
          <w:szCs w:val="31"/>
          <w:bdr w:val="none" w:color="auto" w:sz="0" w:space="0"/>
        </w:rPr>
        <w:t> </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根据《招标拍卖挂牌出让国有建设用地使用权规定》（国土资源部令第39号）和《广东省土地使用权交易市场管理规定》（广东省人民政府令第79号）的规定，经批准，我局决定以网上挂牌方式公开出让下列10宗国有建设用地使用权。现将有关事项公告如下：</w:t>
      </w:r>
    </w:p>
    <w:p>
      <w:pPr>
        <w:pStyle w:val="6"/>
        <w:keepNext w:val="0"/>
        <w:keepLines w:val="0"/>
        <w:widowControl/>
        <w:suppressLineNumbers w:val="0"/>
        <w:spacing w:before="210" w:beforeAutospacing="0" w:after="210" w:afterAutospacing="0" w:line="600" w:lineRule="atLeast"/>
        <w:ind w:left="0" w:right="0" w:firstLine="660"/>
        <w:jc w:val="both"/>
      </w:pPr>
      <w:r>
        <w:rPr>
          <w:rFonts w:hint="eastAsia" w:ascii="宋体" w:hAnsi="宋体" w:eastAsia="宋体" w:cs="宋体"/>
          <w:color w:val="000000"/>
          <w:sz w:val="31"/>
          <w:szCs w:val="31"/>
        </w:rPr>
        <w:t>一、网上挂牌出让地块基本情况及规划指标要求（见附表）</w:t>
      </w:r>
    </w:p>
    <w:p>
      <w:pPr>
        <w:pStyle w:val="6"/>
        <w:keepNext w:val="0"/>
        <w:keepLines w:val="0"/>
        <w:widowControl/>
        <w:suppressLineNumbers w:val="0"/>
        <w:spacing w:before="210" w:beforeAutospacing="0" w:after="210" w:afterAutospacing="0" w:line="600" w:lineRule="atLeast"/>
        <w:ind w:left="0" w:right="0" w:firstLine="660"/>
        <w:jc w:val="both"/>
      </w:pPr>
      <w:r>
        <w:rPr>
          <w:rFonts w:hint="eastAsia" w:ascii="宋体" w:hAnsi="宋体" w:eastAsia="宋体" w:cs="宋体"/>
          <w:color w:val="000000"/>
          <w:sz w:val="31"/>
          <w:szCs w:val="31"/>
        </w:rPr>
        <w:t>二、挂牌起始价及加价幅度（见附表）</w:t>
      </w:r>
    </w:p>
    <w:p>
      <w:pPr>
        <w:pStyle w:val="6"/>
        <w:keepNext w:val="0"/>
        <w:keepLines w:val="0"/>
        <w:widowControl/>
        <w:suppressLineNumbers w:val="0"/>
        <w:spacing w:before="210" w:beforeAutospacing="0" w:after="210" w:afterAutospacing="0" w:line="600" w:lineRule="atLeast"/>
        <w:ind w:left="0" w:right="0" w:firstLine="660"/>
        <w:jc w:val="both"/>
      </w:pPr>
      <w:r>
        <w:rPr>
          <w:rFonts w:hint="eastAsia" w:ascii="宋体" w:hAnsi="宋体" w:eastAsia="宋体" w:cs="宋体"/>
          <w:color w:val="000000"/>
          <w:sz w:val="31"/>
          <w:szCs w:val="31"/>
        </w:rPr>
        <w:t>三、时间安排</w:t>
      </w:r>
    </w:p>
    <w:p>
      <w:pPr>
        <w:pStyle w:val="6"/>
        <w:keepNext w:val="0"/>
        <w:keepLines w:val="0"/>
        <w:widowControl/>
        <w:suppressLineNumbers w:val="0"/>
        <w:spacing w:before="210" w:beforeAutospacing="0" w:after="210" w:afterAutospacing="0" w:line="600" w:lineRule="atLeast"/>
        <w:ind w:left="0" w:right="0" w:firstLine="660"/>
        <w:jc w:val="both"/>
      </w:pPr>
      <w:r>
        <w:rPr>
          <w:rFonts w:hint="eastAsia" w:ascii="宋体" w:hAnsi="宋体" w:eastAsia="宋体" w:cs="宋体"/>
          <w:color w:val="000000"/>
          <w:sz w:val="31"/>
          <w:szCs w:val="31"/>
        </w:rPr>
        <w:t>（一）公告时间：2023年5月30日至2023年6月19日。</w:t>
      </w:r>
    </w:p>
    <w:p>
      <w:pPr>
        <w:pStyle w:val="6"/>
        <w:keepNext w:val="0"/>
        <w:keepLines w:val="0"/>
        <w:widowControl/>
        <w:suppressLineNumbers w:val="0"/>
        <w:spacing w:before="210" w:beforeAutospacing="0" w:after="210" w:afterAutospacing="0" w:line="600" w:lineRule="atLeast"/>
        <w:ind w:left="0" w:right="0" w:firstLine="660"/>
        <w:jc w:val="both"/>
      </w:pPr>
      <w:r>
        <w:rPr>
          <w:rFonts w:hint="eastAsia" w:ascii="宋体" w:hAnsi="宋体" w:eastAsia="宋体" w:cs="宋体"/>
          <w:color w:val="000000"/>
          <w:sz w:val="31"/>
          <w:szCs w:val="31"/>
        </w:rPr>
        <w:t>（二）网上挂牌竞买时间：2023年6月19日9时至2023年7月4日10时。</w:t>
      </w:r>
    </w:p>
    <w:p>
      <w:pPr>
        <w:pStyle w:val="6"/>
        <w:keepNext w:val="0"/>
        <w:keepLines w:val="0"/>
        <w:widowControl/>
        <w:suppressLineNumbers w:val="0"/>
        <w:spacing w:before="210" w:beforeAutospacing="0" w:after="210" w:afterAutospacing="0" w:line="600" w:lineRule="atLeast"/>
        <w:ind w:left="0" w:right="0" w:firstLine="660"/>
        <w:jc w:val="both"/>
      </w:pPr>
      <w:r>
        <w:rPr>
          <w:rFonts w:hint="eastAsia" w:ascii="宋体" w:hAnsi="宋体" w:eastAsia="宋体" w:cs="宋体"/>
          <w:color w:val="000000"/>
          <w:sz w:val="31"/>
          <w:szCs w:val="31"/>
        </w:rPr>
        <w:t>（三）竞买保证金到账截止时间为：2023年7月4日9时。</w:t>
      </w:r>
    </w:p>
    <w:p>
      <w:pPr>
        <w:pStyle w:val="6"/>
        <w:keepNext w:val="0"/>
        <w:keepLines w:val="0"/>
        <w:widowControl/>
        <w:suppressLineNumbers w:val="0"/>
        <w:spacing w:before="210" w:beforeAutospacing="0" w:after="210" w:afterAutospacing="0" w:line="600" w:lineRule="atLeast"/>
        <w:ind w:left="0" w:right="0" w:firstLine="660"/>
        <w:jc w:val="both"/>
      </w:pPr>
      <w:r>
        <w:rPr>
          <w:rFonts w:hint="eastAsia" w:ascii="宋体" w:hAnsi="宋体" w:eastAsia="宋体" w:cs="宋体"/>
          <w:color w:val="000000"/>
          <w:sz w:val="31"/>
          <w:szCs w:val="31"/>
        </w:rPr>
        <w:t>四、竞买资格及要求</w:t>
      </w:r>
    </w:p>
    <w:p>
      <w:pPr>
        <w:pStyle w:val="6"/>
        <w:keepNext w:val="0"/>
        <w:keepLines w:val="0"/>
        <w:widowControl/>
        <w:suppressLineNumbers w:val="0"/>
        <w:spacing w:before="210" w:beforeAutospacing="0" w:after="210" w:afterAutospacing="0" w:line="600" w:lineRule="atLeast"/>
        <w:ind w:left="0" w:right="0" w:firstLine="660"/>
        <w:jc w:val="both"/>
      </w:pPr>
      <w:r>
        <w:rPr>
          <w:rFonts w:hint="eastAsia" w:ascii="宋体" w:hAnsi="宋体" w:eastAsia="宋体" w:cs="宋体"/>
          <w:color w:val="000000"/>
          <w:sz w:val="31"/>
          <w:szCs w:val="31"/>
        </w:rPr>
        <w:t>中华人民共和国境内外的法人和其他组织（除法律法规另有规定外）具备本条规定条件的，均可申请参加竞买。申请人可以单独申请，也可以联合申请，竞买申请人必须同时具备下列条件：</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（一）缴纳足额竞买保证金；</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（二）拖欠地价款、闲置土地、囤地炒地、有违法或不良信用记录的企业及其控股股东不得参与竞买。</w:t>
      </w:r>
    </w:p>
    <w:p>
      <w:pPr>
        <w:pStyle w:val="6"/>
        <w:keepNext w:val="0"/>
        <w:keepLines w:val="0"/>
        <w:widowControl/>
        <w:suppressLineNumbers w:val="0"/>
        <w:spacing w:before="210" w:beforeAutospacing="0" w:after="210" w:afterAutospacing="0" w:line="600" w:lineRule="atLeast"/>
        <w:ind w:left="0" w:right="0" w:firstLine="660"/>
        <w:jc w:val="both"/>
      </w:pPr>
      <w:r>
        <w:rPr>
          <w:rFonts w:hint="eastAsia" w:ascii="宋体" w:hAnsi="宋体" w:eastAsia="宋体" w:cs="宋体"/>
          <w:color w:val="000000"/>
          <w:sz w:val="31"/>
          <w:szCs w:val="31"/>
        </w:rPr>
        <w:t>五、竞买保证金</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（一）本公告10宗地块竞买保证金详见附表；</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（二）申请人应当在网上挂牌出让竞买保证金到账截止时间前登录惠州市公共资源交易中心土地与矿业网上挂牌交易系统（以下简称“网上挂牌交易系统”，网址：https://www.hzgtjy.com/）获取竞买保证金支付账号；</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（三）竞买保证金到账时间以网上挂牌交易系统确认并发出《保证金到账通知书》为准。</w:t>
      </w:r>
    </w:p>
    <w:p>
      <w:pPr>
        <w:pStyle w:val="6"/>
        <w:keepNext w:val="0"/>
        <w:keepLines w:val="0"/>
        <w:widowControl/>
        <w:suppressLineNumbers w:val="0"/>
        <w:spacing w:before="210" w:beforeAutospacing="0" w:after="210" w:afterAutospacing="0" w:line="600" w:lineRule="atLeast"/>
        <w:ind w:left="0" w:right="0" w:firstLine="660"/>
        <w:jc w:val="both"/>
      </w:pPr>
      <w:r>
        <w:rPr>
          <w:rFonts w:hint="eastAsia" w:ascii="宋体" w:hAnsi="宋体" w:eastAsia="宋体" w:cs="宋体"/>
          <w:color w:val="000000"/>
          <w:sz w:val="31"/>
          <w:szCs w:val="31"/>
        </w:rPr>
        <w:t>六、竞买申请</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本公告10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本公告10宗国有建设用地使用权网上挂牌出让实行竞买资格后置审查。竞买申请人交纳足额竞买保证金即获得竞买报价权限。</w:t>
      </w:r>
    </w:p>
    <w:p>
      <w:pPr>
        <w:pStyle w:val="6"/>
        <w:keepNext w:val="0"/>
        <w:keepLines w:val="0"/>
        <w:widowControl/>
        <w:suppressLineNumbers w:val="0"/>
        <w:spacing w:before="210" w:beforeAutospacing="0" w:after="210" w:afterAutospacing="0" w:line="600" w:lineRule="atLeast"/>
        <w:ind w:left="0" w:right="0" w:firstLine="660"/>
        <w:jc w:val="both"/>
      </w:pPr>
      <w:r>
        <w:rPr>
          <w:rFonts w:hint="eastAsia" w:ascii="宋体" w:hAnsi="宋体" w:eastAsia="宋体" w:cs="宋体"/>
          <w:color w:val="000000"/>
          <w:sz w:val="31"/>
          <w:szCs w:val="31"/>
        </w:rPr>
        <w:t>七、竞买人电子报价及电子限时竞价</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竞买人须详细阅读本宗地网上挂牌出让公告、竞买须知及网上挂牌交易系统操作指南，熟练操作网上挂牌交易系统，按竞买规则进行电子报价及电子限时竞价。</w:t>
      </w:r>
    </w:p>
    <w:p>
      <w:pPr>
        <w:pStyle w:val="6"/>
        <w:keepNext w:val="0"/>
        <w:keepLines w:val="0"/>
        <w:widowControl/>
        <w:suppressLineNumbers w:val="0"/>
        <w:spacing w:before="210" w:beforeAutospacing="0" w:after="210" w:afterAutospacing="0" w:line="600" w:lineRule="atLeast"/>
        <w:ind w:left="0" w:right="0" w:firstLine="660"/>
        <w:jc w:val="both"/>
      </w:pPr>
      <w:r>
        <w:rPr>
          <w:rFonts w:hint="eastAsia" w:ascii="宋体" w:hAnsi="宋体" w:eastAsia="宋体" w:cs="宋体"/>
          <w:color w:val="000000"/>
          <w:sz w:val="31"/>
          <w:szCs w:val="31"/>
        </w:rPr>
        <w:t>八、确定成交候选人</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本公告10宗国有建设用地使用权网上挂牌出让为无底价挂牌采取价高者得方式出让并确定成交候选人。</w:t>
      </w:r>
    </w:p>
    <w:p>
      <w:pPr>
        <w:pStyle w:val="6"/>
        <w:keepNext w:val="0"/>
        <w:keepLines w:val="0"/>
        <w:widowControl/>
        <w:suppressLineNumbers w:val="0"/>
        <w:spacing w:before="210" w:beforeAutospacing="0" w:after="210" w:afterAutospacing="0" w:line="600" w:lineRule="atLeast"/>
        <w:ind w:left="0" w:right="0" w:firstLine="660"/>
        <w:jc w:val="both"/>
      </w:pPr>
      <w:r>
        <w:rPr>
          <w:rFonts w:hint="eastAsia" w:ascii="宋体" w:hAnsi="宋体" w:eastAsia="宋体" w:cs="宋体"/>
          <w:color w:val="000000"/>
          <w:sz w:val="31"/>
          <w:szCs w:val="31"/>
        </w:rPr>
        <w:t>九、资格审查</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成交候选人应在网上挂牌交易系统确定成交候选人之日起5个工作日内将竞买申请书等材料上传至土地与矿业网上挂牌交易系统，由惠州市自然资源局仲恺高新技术产业开发区分局对竞买资格进行审查。惠州市自然资源局仲恺高新技术产业开发区分局将于2023年7月11日前确定符合竞买资格的成交候选人为竞得人（成交候选人上传材料的具体操作详见网上挂牌交易系统资料下载栏目中的《惠州市公共资源交易中心土地与矿业交易系统新增建设功能操作指南》）</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成交候选人资格审查须提交下列材料：</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（一）《竞买申请书》（加盖公章）；</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（二）《竞价结果通知书》（加盖公章）；</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（三）《竞买保证金到账通知书》（加盖公章）；</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（四）竞买保证金转账凭证复印件（加盖公章）；</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（五）申请竞买人有效的《营业执照》复印件（加盖公章）；</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（六）法定代表人身份证复印件（加盖公章）；</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（七）授权他人代理的授权委托书及代理人身份证复印件（加盖公章）；</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（八）惠州仲恺高新区管理委员会经济发展和统计局出具的与本公告宗地要求对应产业类型一致的优先发展产业项目文件复印件（加盖公章）。</w:t>
      </w:r>
    </w:p>
    <w:p>
      <w:pPr>
        <w:pStyle w:val="6"/>
        <w:keepNext w:val="0"/>
        <w:keepLines w:val="0"/>
        <w:widowControl/>
        <w:suppressLineNumbers w:val="0"/>
        <w:spacing w:before="210" w:beforeAutospacing="0" w:after="210" w:afterAutospacing="0" w:line="600" w:lineRule="atLeast"/>
        <w:ind w:left="0" w:right="0" w:firstLine="660"/>
        <w:jc w:val="both"/>
      </w:pPr>
      <w:r>
        <w:rPr>
          <w:rFonts w:hint="eastAsia" w:ascii="宋体" w:hAnsi="宋体" w:eastAsia="宋体" w:cs="宋体"/>
          <w:color w:val="000000"/>
          <w:sz w:val="31"/>
          <w:szCs w:val="31"/>
        </w:rPr>
        <w:t>十、签订成交确认书、出让合同及支付土地出让金</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竞得人应在接到竞得人确定通知之日起5个工作日内与惠州市自然资源局仲恺高新技术产业开发区分局、惠州市公共资源交易中心仲恺分中心签订《成交确认书》，签订《成交确认书》之日起5个工作日内，须向惠州市自然资源局仲恺高新技术产业开发区分局提交申请受让国有建设用地使用权的有关材料；签订《成交确认书》之日起10个工作日内，须与出让人签订《出让合同》。土地出让金于《出让合同》签订之日起30日内一次性付清。竞得人逾期不签订《出让合同》的或已签《出让合同》不缴纳成交价款的，必须收回土地，并按规定处罚。</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付清出让金及有关税费后，竞得人可申请办理建设用地审批及土地登记发证手续。</w:t>
      </w:r>
    </w:p>
    <w:p>
      <w:pPr>
        <w:pStyle w:val="6"/>
        <w:keepNext w:val="0"/>
        <w:keepLines w:val="0"/>
        <w:widowControl/>
        <w:suppressLineNumbers w:val="0"/>
        <w:spacing w:before="210" w:beforeAutospacing="0" w:after="210" w:afterAutospacing="0" w:line="600" w:lineRule="atLeast"/>
        <w:ind w:left="0" w:right="0" w:firstLine="660"/>
        <w:jc w:val="both"/>
      </w:pPr>
      <w:r>
        <w:rPr>
          <w:rFonts w:hint="eastAsia" w:ascii="宋体" w:hAnsi="宋体" w:eastAsia="宋体" w:cs="宋体"/>
          <w:color w:val="000000"/>
          <w:sz w:val="31"/>
          <w:szCs w:val="31"/>
        </w:rPr>
        <w:t>十一、竞买保证金退还或转付成交价款</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未成功竞得的竞买人所交竞买保证金，在5个工作日内予以退还；若违法违规竞买的，按有关规定处罚后予以退还。</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竞得人签订《成交确认书》后，缴交的保证金中按成交价的20%转作定金；竞得人逾期或拒绝签订《出让合同》的，定金不予退还。竞得人签订《出让合同》后，定金转作土地出让价款。</w:t>
      </w:r>
    </w:p>
    <w:p>
      <w:pPr>
        <w:pStyle w:val="6"/>
        <w:keepNext w:val="0"/>
        <w:keepLines w:val="0"/>
        <w:widowControl/>
        <w:suppressLineNumbers w:val="0"/>
        <w:spacing w:before="210" w:beforeAutospacing="0" w:after="210" w:afterAutospacing="0" w:line="600" w:lineRule="atLeast"/>
        <w:ind w:left="0" w:right="0" w:firstLine="660"/>
        <w:jc w:val="both"/>
      </w:pPr>
      <w:r>
        <w:rPr>
          <w:rFonts w:hint="eastAsia" w:ascii="宋体" w:hAnsi="宋体" w:eastAsia="宋体" w:cs="宋体"/>
          <w:color w:val="000000"/>
          <w:sz w:val="31"/>
          <w:szCs w:val="31"/>
        </w:rPr>
        <w:t>十二、违规责任</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成交候选人（或竞得人）有下列行为之一的，取消候选人资格（或竞得资格），竞价结果无效，竞买保证金不予退还，造成损失的，成交候选人（或竞得人）还应依法承担赔偿责任：</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（一）不符合竞买资格条件的；</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（二）提供虚假文件材料，隐瞒重要事实的；</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（三）采取行贿、恶意串通等非法手段竞得的；</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（四）无正当理由逾期或拒绝签订成交确认书的。</w:t>
      </w:r>
    </w:p>
    <w:p>
      <w:pPr>
        <w:pStyle w:val="6"/>
        <w:keepNext w:val="0"/>
        <w:keepLines w:val="0"/>
        <w:widowControl/>
        <w:suppressLineNumbers w:val="0"/>
        <w:spacing w:before="210" w:beforeAutospacing="0" w:after="210" w:afterAutospacing="0" w:line="600" w:lineRule="atLeast"/>
        <w:ind w:left="0" w:right="0" w:firstLine="660"/>
        <w:jc w:val="both"/>
      </w:pPr>
      <w:r>
        <w:rPr>
          <w:rFonts w:hint="eastAsia" w:ascii="宋体" w:hAnsi="宋体" w:eastAsia="宋体" w:cs="宋体"/>
          <w:color w:val="000000"/>
          <w:sz w:val="31"/>
          <w:szCs w:val="31"/>
        </w:rPr>
        <w:t>十三、其他需要公告的事项</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（一）本公告10宗地网上挂牌出让的详细资料和具体要求，见网上挂牌交易系统。申请人可在网上挂牌交易系统下载挂牌出让公告、须知及相关交易文件；</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（二）有意竞买者可以自行到地块现场踏勘（可在网上挂牌交易系统查阅用地红线图）；</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（三）地块周边基础设施已基本配套，具备动工建设所必需的条件；</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（四）竞买申请一经受理确认后，即视为竞买人对网上挂牌出让公告、须知、相关交易文件及地块现状无异议并全部接受，并对有关承诺承担法律责任；</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（五）非仲恺高新区注册登记的企业竞得土地使用权的，必须在竞得土地后2个月内在惠州仲恺高新区管理委员会市场监督管理局注册成立项目开发公司，并以该公司名义办理土地出让与登记发证手续；</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（六）竞得人除缴交成交地价款外，还需按规定缴交契税等有关税费；</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七）竞得人须在签订《国有建设用地使用权出让合同》（以下简称“《出让合同》”）时，提交惠州仲恺高新区管理委员会经济发展和统计局出具的与本公告宗地产业类型一致的优先发展产业项目文件；挂牌编号为惠仲土（用地）挂[2023]041号的宗地需同步提交与相关部门签订的《仲恺高新区产业项目土地建设监管协议书》，挂牌编号为惠仲土（用地）挂[2023]042号的宗地需同步提交与相关部门签订的《仲恺高新区产业项目土地开发监管协议书》，其余宗地需同步提交与相关部门签订的《仲恺高新区产业项目投资建设协议书》，各宗地开发及使用规定详见附表（挂牌起始价及地块规划建设要求等主要指标附表）；</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（八）地块动工竣工时间及地块交付时间</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出让合同》签订之日交付土地；挂牌编号为惠仲土（用地）挂[2023]041号的宗地，动、竣工时间按《仲恺高新区产业项目土地建设监管协议书》执行；挂牌编号为惠仲土（用地）挂[2023]042号的宗地，动、竣工时间按《仲恺高新区产业项目土地开发监管协议书》执行；其余宗地动、竣工时间按《仲恺高新区产业项目投资建设协议书》执行；</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（九）挂牌编号为惠仲土（用地）挂[2023]041号及惠仲土（用地）挂[2023]048号的宗地需与相连地块统一规划、统一建设；</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十）挂牌编号为惠仲土（用地）挂[2023]041号的宗地项目未达到本公告规定的集约用地指标或者非优先发展产业的，用地单位必须按《出让合同》及《仲恺高新区产业项目土地建设监管协议书》的约定补缴土地出让金、缴交违约金等，如果需要补缴土地出让金的，补缴土地出让金由惠州市自然资源局仲恺高新技术产业开发区分局委托评估机构进行评估确定，估价期日应以自然资源主管部门依法受理补缴地价申请时点为准；《仲恺高新区产业项目土地建设监管协议书》的后续监管职责由相关部门负责对竞得人履行；</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十一）挂牌编号为惠仲土（用地）挂[2023]042号的宗地项目未达到本公告规定的集约用地指标或者非优先发展产业的，用地单位必须按《出让合同》及《仲恺高新区产业项目土地开发监管协议书》的约定补缴土地出让金、缴交违约金等，如果需要补缴土地出让金的，补缴土地出让金由惠州市自然资源局仲恺高新技术产业开发区分局委托评估机构进行评估确定，估价期日应以自然资源主管部门依法受理补缴地价申请时点为准；《仲恺高新区产业项目土地开发监管协议书》的后续监管职责由相关部门负责对竞得人履行；</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十二）其余宗地项目未达到本公告规定的集约用地指标或者非优先发展产业的，用地单位必须按《出让合同》及《仲恺高新区产业项目投资建设协议书》的约定补缴土地出让金、缴交违约金等，如果需要补缴土地出让金的，补缴土地出让金由惠州市自然资源局仲恺高新技术产业开发区分局委托评估机构进行评估确定，估价期日应以自然资源主管部门依法受理补缴地价申请时点为准；《仲恺高新区产业项目投资建设协议书》的后续监管职责由相关部门负责对竞得人履行；</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（十三）本公告10宗地设计方案应满足《规划设计条件告知书》要求，而《规划设计条件告知书》未明确的相关内容应符合现行国家、省、市有关的法律、法规、技术规范标准和政策等规定；</w:t>
      </w:r>
    </w:p>
    <w:p>
      <w:pPr>
        <w:pStyle w:val="6"/>
        <w:keepNext w:val="0"/>
        <w:keepLines w:val="0"/>
        <w:widowControl/>
        <w:suppressLineNumbers w:val="0"/>
        <w:spacing w:before="210" w:beforeAutospacing="0" w:after="210" w:afterAutospacing="0" w:line="600" w:lineRule="atLeast"/>
        <w:ind w:left="0" w:right="0" w:firstLine="660"/>
        <w:jc w:val="both"/>
      </w:pPr>
      <w:r>
        <w:rPr>
          <w:rFonts w:hint="eastAsia" w:ascii="宋体" w:hAnsi="宋体" w:eastAsia="宋体" w:cs="宋体"/>
          <w:color w:val="000000"/>
          <w:sz w:val="31"/>
          <w:szCs w:val="31"/>
        </w:rPr>
        <w:t>（十四）本公告10宗地交易全程适用《惠州市政务服务数据管理局惠州市公共资源交易中心公共资源电子交易规则》（惠市政数〔2022〕3号）。</w:t>
      </w:r>
    </w:p>
    <w:p>
      <w:pPr>
        <w:pStyle w:val="6"/>
        <w:keepNext w:val="0"/>
        <w:keepLines w:val="0"/>
        <w:widowControl/>
        <w:suppressLineNumbers w:val="0"/>
        <w:spacing w:before="210" w:beforeAutospacing="0" w:after="210" w:afterAutospacing="0" w:line="600" w:lineRule="atLeast"/>
        <w:ind w:left="0" w:right="0" w:firstLine="660"/>
        <w:jc w:val="both"/>
      </w:pPr>
      <w:r>
        <w:rPr>
          <w:rFonts w:hint="eastAsia" w:ascii="宋体" w:hAnsi="宋体" w:eastAsia="宋体" w:cs="宋体"/>
          <w:color w:val="000000"/>
          <w:sz w:val="31"/>
          <w:szCs w:val="31"/>
        </w:rPr>
        <w:t>十四、联系方式</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出让方：惠州市自然资源局仲恺高新技术产业开发区分局</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联系地址：广东省惠州市仲恺高新区和畅五路人才服务大厦5楼</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联系人：胡女士 游女士 欧阳先生 张先生 徐先生 赖先生</w:t>
      </w:r>
    </w:p>
    <w:p>
      <w:pPr>
        <w:pStyle w:val="6"/>
        <w:keepNext w:val="0"/>
        <w:keepLines w:val="0"/>
        <w:widowControl/>
        <w:suppressLineNumbers w:val="0"/>
        <w:spacing w:before="210" w:beforeAutospacing="0" w:after="210" w:afterAutospacing="0" w:line="600" w:lineRule="atLeast"/>
        <w:ind w:left="0" w:right="0" w:firstLine="645"/>
        <w:jc w:val="both"/>
      </w:pPr>
      <w:r>
        <w:rPr>
          <w:rFonts w:hint="eastAsia" w:ascii="宋体" w:hAnsi="宋体" w:eastAsia="宋体" w:cs="宋体"/>
          <w:color w:val="000000"/>
          <w:sz w:val="31"/>
          <w:szCs w:val="31"/>
        </w:rPr>
        <w:t>联系电话：0752-3271601、0752-3271633、0752-3271636</w:t>
      </w:r>
    </w:p>
    <w:p>
      <w:pPr>
        <w:pStyle w:val="6"/>
        <w:keepNext w:val="0"/>
        <w:keepLines w:val="0"/>
        <w:widowControl/>
        <w:suppressLineNumbers w:val="0"/>
        <w:spacing w:line="600" w:lineRule="atLeast"/>
        <w:ind w:left="0" w:firstLine="645"/>
        <w:jc w:val="both"/>
      </w:pPr>
      <w:r>
        <w:rPr>
          <w:rFonts w:hint="eastAsia" w:ascii="宋体" w:hAnsi="宋体" w:eastAsia="宋体" w:cs="宋体"/>
          <w:color w:val="000000"/>
          <w:spacing w:val="0"/>
          <w:sz w:val="31"/>
          <w:szCs w:val="31"/>
          <w:bdr w:val="none" w:color="auto" w:sz="0" w:space="0"/>
        </w:rPr>
        <w:t>交易机构：惠州市公共资源交易中心仲恺分中心</w:t>
      </w:r>
    </w:p>
    <w:p>
      <w:pPr>
        <w:pStyle w:val="6"/>
        <w:keepNext w:val="0"/>
        <w:keepLines w:val="0"/>
        <w:widowControl/>
        <w:suppressLineNumbers w:val="0"/>
        <w:spacing w:line="600" w:lineRule="atLeast"/>
        <w:ind w:left="0" w:firstLine="645"/>
        <w:jc w:val="both"/>
      </w:pPr>
      <w:r>
        <w:rPr>
          <w:rFonts w:hint="eastAsia" w:ascii="宋体" w:hAnsi="宋体" w:eastAsia="宋体" w:cs="宋体"/>
          <w:color w:val="000000"/>
          <w:spacing w:val="0"/>
          <w:sz w:val="31"/>
          <w:szCs w:val="31"/>
          <w:bdr w:val="none" w:color="auto" w:sz="0" w:space="0"/>
        </w:rPr>
        <w:t>联系地址：广东省惠州市仲恺高新区和畅五路人才服务大厦</w:t>
      </w:r>
    </w:p>
    <w:p>
      <w:pPr>
        <w:pStyle w:val="6"/>
        <w:keepNext w:val="0"/>
        <w:keepLines w:val="0"/>
        <w:widowControl/>
        <w:suppressLineNumbers w:val="0"/>
        <w:spacing w:line="600" w:lineRule="atLeast"/>
        <w:ind w:left="0" w:firstLine="0"/>
        <w:jc w:val="both"/>
      </w:pPr>
      <w:r>
        <w:rPr>
          <w:rFonts w:hint="eastAsia" w:ascii="宋体" w:hAnsi="宋体" w:eastAsia="宋体" w:cs="宋体"/>
          <w:color w:val="000000"/>
          <w:spacing w:val="0"/>
          <w:sz w:val="31"/>
          <w:szCs w:val="31"/>
          <w:bdr w:val="none" w:color="auto" w:sz="0" w:space="0"/>
        </w:rPr>
        <w:t>10楼</w:t>
      </w:r>
    </w:p>
    <w:p>
      <w:pPr>
        <w:pStyle w:val="6"/>
        <w:keepNext w:val="0"/>
        <w:keepLines w:val="0"/>
        <w:widowControl/>
        <w:suppressLineNumbers w:val="0"/>
        <w:spacing w:line="600" w:lineRule="atLeast"/>
        <w:ind w:left="0" w:firstLine="645"/>
        <w:jc w:val="both"/>
      </w:pPr>
      <w:r>
        <w:rPr>
          <w:rFonts w:hint="eastAsia" w:ascii="宋体" w:hAnsi="宋体" w:eastAsia="宋体" w:cs="宋体"/>
          <w:color w:val="000000"/>
          <w:spacing w:val="0"/>
          <w:sz w:val="31"/>
          <w:szCs w:val="31"/>
          <w:bdr w:val="none" w:color="auto" w:sz="0" w:space="0"/>
        </w:rPr>
        <w:t>联系人：汪先生 房女士 欧阳先生</w:t>
      </w:r>
    </w:p>
    <w:p>
      <w:pPr>
        <w:pStyle w:val="6"/>
        <w:keepNext w:val="0"/>
        <w:keepLines w:val="0"/>
        <w:widowControl/>
        <w:suppressLineNumbers w:val="0"/>
        <w:spacing w:line="600" w:lineRule="atLeast"/>
        <w:ind w:left="0" w:firstLine="645"/>
        <w:jc w:val="both"/>
      </w:pPr>
      <w:r>
        <w:rPr>
          <w:rFonts w:hint="eastAsia" w:ascii="宋体" w:hAnsi="宋体" w:eastAsia="宋体" w:cs="宋体"/>
          <w:color w:val="000000"/>
          <w:spacing w:val="0"/>
          <w:sz w:val="31"/>
          <w:szCs w:val="31"/>
          <w:bdr w:val="none" w:color="auto" w:sz="0" w:space="0"/>
        </w:rPr>
        <w:t>联系电话：0752-3278419</w:t>
      </w:r>
    </w:p>
    <w:p>
      <w:pPr>
        <w:pStyle w:val="6"/>
        <w:keepNext w:val="0"/>
        <w:keepLines w:val="0"/>
        <w:widowControl/>
        <w:suppressLineNumbers w:val="0"/>
        <w:spacing w:line="600" w:lineRule="atLeast"/>
        <w:ind w:left="0" w:firstLine="645"/>
        <w:jc w:val="both"/>
      </w:pPr>
      <w:r>
        <w:rPr>
          <w:rFonts w:hint="eastAsia" w:ascii="宋体" w:hAnsi="宋体" w:eastAsia="宋体" w:cs="宋体"/>
          <w:color w:val="000000"/>
          <w:spacing w:val="0"/>
          <w:sz w:val="31"/>
          <w:szCs w:val="31"/>
          <w:bdr w:val="none" w:color="auto" w:sz="0" w:space="0"/>
        </w:rPr>
        <w:t>注：本公告同时在下列网站及场所发布</w:t>
      </w:r>
    </w:p>
    <w:p>
      <w:pPr>
        <w:pStyle w:val="6"/>
        <w:keepNext w:val="0"/>
        <w:keepLines w:val="0"/>
        <w:widowControl/>
        <w:suppressLineNumbers w:val="0"/>
        <w:spacing w:line="600" w:lineRule="atLeast"/>
        <w:ind w:left="0" w:firstLine="645"/>
        <w:jc w:val="both"/>
      </w:pPr>
      <w:r>
        <w:rPr>
          <w:rFonts w:hint="eastAsia" w:ascii="宋体" w:hAnsi="宋体" w:eastAsia="宋体" w:cs="宋体"/>
          <w:color w:val="000000"/>
          <w:spacing w:val="0"/>
          <w:sz w:val="31"/>
          <w:szCs w:val="31"/>
          <w:bdr w:val="none" w:color="auto" w:sz="0" w:space="0"/>
        </w:rPr>
        <w:t>中国土地市场网：http://www.landchina.com</w:t>
      </w:r>
    </w:p>
    <w:p>
      <w:pPr>
        <w:pStyle w:val="6"/>
        <w:keepNext w:val="0"/>
        <w:keepLines w:val="0"/>
        <w:widowControl/>
        <w:suppressLineNumbers w:val="0"/>
        <w:spacing w:line="600" w:lineRule="atLeast"/>
        <w:ind w:left="0" w:firstLine="645"/>
        <w:jc w:val="both"/>
      </w:pPr>
      <w:r>
        <w:rPr>
          <w:rFonts w:hint="eastAsia" w:ascii="宋体" w:hAnsi="宋体" w:eastAsia="宋体" w:cs="宋体"/>
          <w:color w:val="000000"/>
          <w:spacing w:val="0"/>
          <w:sz w:val="31"/>
          <w:szCs w:val="31"/>
          <w:bdr w:val="none" w:color="auto" w:sz="0" w:space="0"/>
        </w:rPr>
        <w:t>广东省公共资源交易平台: https://ygpgdzwfw.gov.cn/</w:t>
      </w:r>
    </w:p>
    <w:p>
      <w:pPr>
        <w:pStyle w:val="6"/>
        <w:keepNext w:val="0"/>
        <w:keepLines w:val="0"/>
        <w:widowControl/>
        <w:suppressLineNumbers w:val="0"/>
        <w:spacing w:line="600" w:lineRule="atLeast"/>
        <w:ind w:left="0" w:firstLine="645"/>
        <w:jc w:val="both"/>
      </w:pPr>
      <w:r>
        <w:rPr>
          <w:rFonts w:hint="eastAsia" w:ascii="宋体" w:hAnsi="宋体" w:eastAsia="宋体" w:cs="宋体"/>
          <w:color w:val="000000"/>
          <w:spacing w:val="0"/>
          <w:sz w:val="31"/>
          <w:szCs w:val="31"/>
          <w:bdr w:val="none" w:color="auto" w:sz="0" w:space="0"/>
        </w:rPr>
        <w:t>惠州市公共资源交易中心网：</w:t>
      </w:r>
      <w:r>
        <w:rPr>
          <w:bdr w:val="none" w:color="auto" w:sz="0" w:space="0"/>
        </w:rPr>
        <w:fldChar w:fldCharType="begin"/>
      </w:r>
      <w:r>
        <w:rPr>
          <w:bdr w:val="none" w:color="auto" w:sz="0" w:space="0"/>
        </w:rPr>
        <w:instrText xml:space="preserve"> HYPERLINK "http://zyjy.huizhou.gov.cn/" </w:instrText>
      </w:r>
      <w:r>
        <w:rPr>
          <w:bdr w:val="none" w:color="auto" w:sz="0" w:space="0"/>
        </w:rPr>
        <w:fldChar w:fldCharType="separate"/>
      </w:r>
      <w:r>
        <w:rPr>
          <w:rStyle w:val="9"/>
          <w:rFonts w:hint="eastAsia" w:ascii="宋体" w:hAnsi="宋体" w:eastAsia="宋体" w:cs="宋体"/>
          <w:color w:val="000000"/>
          <w:spacing w:val="0"/>
          <w:sz w:val="31"/>
          <w:szCs w:val="31"/>
          <w:bdr w:val="none" w:color="auto" w:sz="0" w:space="0"/>
        </w:rPr>
        <w:t>http://zyjy.huizhou.gov.cn</w:t>
      </w:r>
      <w:r>
        <w:rPr>
          <w:bdr w:val="none" w:color="auto" w:sz="0" w:space="0"/>
        </w:rPr>
        <w:fldChar w:fldCharType="end"/>
      </w:r>
    </w:p>
    <w:p>
      <w:pPr>
        <w:pStyle w:val="6"/>
        <w:keepNext w:val="0"/>
        <w:keepLines w:val="0"/>
        <w:widowControl/>
        <w:suppressLineNumbers w:val="0"/>
        <w:spacing w:line="600" w:lineRule="atLeast"/>
        <w:ind w:left="0" w:firstLine="645"/>
        <w:jc w:val="both"/>
      </w:pPr>
      <w:r>
        <w:rPr>
          <w:rFonts w:hint="eastAsia" w:ascii="宋体" w:hAnsi="宋体" w:eastAsia="宋体" w:cs="宋体"/>
          <w:color w:val="000000"/>
          <w:spacing w:val="0"/>
          <w:sz w:val="31"/>
          <w:szCs w:val="31"/>
          <w:bdr w:val="none" w:color="auto" w:sz="0" w:space="0"/>
        </w:rPr>
        <w:t>惠州市公共资源交易中心仲恺分中心网站：</w:t>
      </w:r>
    </w:p>
    <w:p>
      <w:pPr>
        <w:pStyle w:val="6"/>
        <w:keepNext w:val="0"/>
        <w:keepLines w:val="0"/>
        <w:widowControl/>
        <w:suppressLineNumbers w:val="0"/>
        <w:spacing w:line="600" w:lineRule="atLeast"/>
        <w:ind w:left="0" w:firstLine="645"/>
        <w:jc w:val="both"/>
      </w:pPr>
      <w:r>
        <w:rPr>
          <w:bdr w:val="none" w:color="auto" w:sz="0" w:space="0"/>
        </w:rPr>
        <w:fldChar w:fldCharType="begin"/>
      </w:r>
      <w:r>
        <w:rPr>
          <w:bdr w:val="none" w:color="auto" w:sz="0" w:space="0"/>
        </w:rPr>
        <w:instrText xml:space="preserve"> HYPERLINK "http://www.hzzk.gov.cn/gwhbm/hzsggzyjyzxzzfzx/index.html" </w:instrText>
      </w:r>
      <w:r>
        <w:rPr>
          <w:bdr w:val="none" w:color="auto" w:sz="0" w:space="0"/>
        </w:rPr>
        <w:fldChar w:fldCharType="separate"/>
      </w:r>
      <w:r>
        <w:rPr>
          <w:rStyle w:val="9"/>
          <w:rFonts w:hint="eastAsia" w:ascii="宋体" w:hAnsi="宋体" w:eastAsia="宋体" w:cs="宋体"/>
          <w:color w:val="000000"/>
          <w:spacing w:val="0"/>
          <w:sz w:val="31"/>
          <w:szCs w:val="31"/>
          <w:bdr w:val="none" w:color="auto" w:sz="0" w:space="0"/>
        </w:rPr>
        <w:t>http: //www.hzzk.gov.cn/gwhbm/hzsggzyjyzxzzfzx/index. html</w:t>
      </w:r>
      <w:r>
        <w:rPr>
          <w:bdr w:val="none" w:color="auto" w:sz="0" w:space="0"/>
        </w:rPr>
        <w:fldChar w:fldCharType="end"/>
      </w:r>
    </w:p>
    <w:p>
      <w:pPr>
        <w:pStyle w:val="6"/>
        <w:keepNext w:val="0"/>
        <w:keepLines w:val="0"/>
        <w:widowControl/>
        <w:suppressLineNumbers w:val="0"/>
        <w:spacing w:line="600" w:lineRule="atLeast"/>
        <w:ind w:left="0" w:firstLine="645"/>
        <w:jc w:val="both"/>
      </w:pPr>
      <w:r>
        <w:rPr>
          <w:rFonts w:hint="eastAsia" w:ascii="宋体" w:hAnsi="宋体" w:eastAsia="宋体" w:cs="宋体"/>
          <w:color w:val="000000"/>
          <w:sz w:val="31"/>
          <w:szCs w:val="31"/>
          <w:bdr w:val="none" w:color="auto" w:sz="0" w:space="0"/>
        </w:rPr>
        <w:t>惠州市自然资源局仲恺高新技术产业开发区分局</w:t>
      </w:r>
      <w:r>
        <w:rPr>
          <w:rFonts w:hint="eastAsia" w:ascii="宋体" w:hAnsi="宋体" w:eastAsia="宋体" w:cs="宋体"/>
          <w:color w:val="000000"/>
          <w:spacing w:val="0"/>
          <w:sz w:val="31"/>
          <w:szCs w:val="31"/>
          <w:bdr w:val="none" w:color="auto" w:sz="0" w:space="0"/>
        </w:rPr>
        <w:t>网站：</w:t>
      </w:r>
      <w:r>
        <w:rPr>
          <w:bdr w:val="none" w:color="auto" w:sz="0" w:space="0"/>
        </w:rPr>
        <w:fldChar w:fldCharType="begin"/>
      </w:r>
      <w:r>
        <w:rPr>
          <w:bdr w:val="none" w:color="auto" w:sz="0" w:space="0"/>
        </w:rPr>
        <w:instrText xml:space="preserve"> HYPERLINK "http://www.hzzk.gov.cn/gwhbm/zzgxqgtzyfj/" </w:instrText>
      </w:r>
      <w:r>
        <w:rPr>
          <w:bdr w:val="none" w:color="auto" w:sz="0" w:space="0"/>
        </w:rPr>
        <w:fldChar w:fldCharType="separate"/>
      </w:r>
      <w:r>
        <w:rPr>
          <w:rStyle w:val="9"/>
          <w:rFonts w:hint="eastAsia" w:ascii="宋体" w:hAnsi="宋体" w:eastAsia="宋体" w:cs="宋体"/>
          <w:color w:val="000000"/>
          <w:spacing w:val="0"/>
          <w:sz w:val="31"/>
          <w:szCs w:val="31"/>
          <w:bdr w:val="none" w:color="auto" w:sz="0" w:space="0"/>
        </w:rPr>
        <w:t>http://www.hzzk.gov.cn/gwhbm/zzgxqgtzyfj/</w:t>
      </w:r>
      <w:r>
        <w:rPr>
          <w:bdr w:val="none" w:color="auto" w:sz="0" w:space="0"/>
        </w:rPr>
        <w:fldChar w:fldCharType="end"/>
      </w:r>
    </w:p>
    <w:p>
      <w:pPr>
        <w:pStyle w:val="6"/>
        <w:keepNext w:val="0"/>
        <w:keepLines w:val="0"/>
        <w:widowControl/>
        <w:suppressLineNumbers w:val="0"/>
        <w:spacing w:line="600" w:lineRule="atLeast"/>
        <w:ind w:left="0" w:firstLine="645"/>
        <w:jc w:val="both"/>
      </w:pPr>
      <w:r>
        <w:rPr>
          <w:rFonts w:hint="eastAsia" w:ascii="宋体" w:hAnsi="宋体" w:eastAsia="宋体" w:cs="宋体"/>
          <w:color w:val="000000"/>
          <w:spacing w:val="0"/>
          <w:sz w:val="31"/>
          <w:szCs w:val="31"/>
          <w:bdr w:val="none" w:color="auto" w:sz="0" w:space="0"/>
        </w:rPr>
        <w:t>惠州市公共资源交易中心仲恺分中心服务大厅电子屏幕。</w:t>
      </w:r>
    </w:p>
    <w:p>
      <w:pPr>
        <w:pStyle w:val="6"/>
        <w:keepNext w:val="0"/>
        <w:keepLines w:val="0"/>
        <w:widowControl/>
        <w:suppressLineNumbers w:val="0"/>
        <w:spacing w:line="600" w:lineRule="atLeast"/>
        <w:ind w:left="0" w:firstLine="645"/>
        <w:jc w:val="both"/>
      </w:pPr>
      <w:r>
        <w:rPr>
          <w:rFonts w:hint="eastAsia" w:ascii="宋体" w:hAnsi="宋体" w:eastAsia="宋体" w:cs="宋体"/>
          <w:color w:val="000000"/>
          <w:spacing w:val="0"/>
          <w:sz w:val="31"/>
          <w:szCs w:val="31"/>
          <w:bdr w:val="none" w:color="auto" w:sz="0" w:space="0"/>
        </w:rPr>
        <w:t>数字证书办理地址：广东省惠州市惠城区三新北路31号市 民服务中心3号楼惠州市公共资源交易中心一楼大厅1号土地与矿业交易窗口。</w:t>
      </w:r>
    </w:p>
    <w:p>
      <w:pPr>
        <w:pStyle w:val="6"/>
        <w:keepNext w:val="0"/>
        <w:keepLines w:val="0"/>
        <w:widowControl/>
        <w:suppressLineNumbers w:val="0"/>
        <w:spacing w:line="600" w:lineRule="atLeast"/>
        <w:ind w:left="0" w:firstLine="645"/>
        <w:jc w:val="both"/>
      </w:pPr>
      <w:r>
        <w:rPr>
          <w:rFonts w:hint="eastAsia" w:ascii="宋体" w:hAnsi="宋体" w:eastAsia="宋体" w:cs="宋体"/>
          <w:color w:val="000000"/>
          <w:spacing w:val="0"/>
          <w:sz w:val="31"/>
          <w:szCs w:val="31"/>
          <w:bdr w:val="none" w:color="auto" w:sz="0" w:space="0"/>
        </w:rPr>
        <w:t>联系人：罗工</w:t>
      </w:r>
    </w:p>
    <w:p>
      <w:pPr>
        <w:pStyle w:val="6"/>
        <w:keepNext w:val="0"/>
        <w:keepLines w:val="0"/>
        <w:widowControl/>
        <w:suppressLineNumbers w:val="0"/>
        <w:spacing w:line="600" w:lineRule="atLeast"/>
        <w:ind w:left="0" w:firstLine="645"/>
        <w:jc w:val="both"/>
      </w:pPr>
      <w:r>
        <w:rPr>
          <w:rFonts w:hint="eastAsia" w:ascii="宋体" w:hAnsi="宋体" w:eastAsia="宋体" w:cs="宋体"/>
          <w:color w:val="000000"/>
          <w:spacing w:val="0"/>
          <w:sz w:val="31"/>
          <w:szCs w:val="31"/>
          <w:bdr w:val="none" w:color="auto" w:sz="0" w:space="0"/>
        </w:rPr>
        <w:t>联系电话：0752-7121029</w:t>
      </w:r>
    </w:p>
    <w:p>
      <w:pPr>
        <w:pStyle w:val="6"/>
        <w:keepNext w:val="0"/>
        <w:keepLines w:val="0"/>
        <w:widowControl/>
        <w:suppressLineNumbers w:val="0"/>
        <w:spacing w:before="210" w:beforeAutospacing="0" w:after="210" w:afterAutospacing="0" w:line="555" w:lineRule="atLeast"/>
        <w:ind w:left="0" w:right="0"/>
        <w:jc w:val="both"/>
      </w:pPr>
      <w:r>
        <w:rPr>
          <w:rFonts w:hint="eastAsia" w:ascii="宋体" w:hAnsi="宋体" w:eastAsia="宋体" w:cs="宋体"/>
          <w:sz w:val="31"/>
          <w:szCs w:val="31"/>
        </w:rPr>
        <w:t> </w:t>
      </w:r>
    </w:p>
    <w:p>
      <w:pPr>
        <w:pStyle w:val="6"/>
        <w:keepNext w:val="0"/>
        <w:keepLines w:val="0"/>
        <w:widowControl/>
        <w:suppressLineNumbers w:val="0"/>
        <w:spacing w:before="210" w:beforeAutospacing="0" w:after="210" w:afterAutospacing="0" w:line="555" w:lineRule="atLeast"/>
        <w:ind w:left="0" w:right="0"/>
        <w:jc w:val="both"/>
      </w:pPr>
      <w:r>
        <w:rPr>
          <w:rFonts w:hint="eastAsia" w:ascii="宋体" w:hAnsi="宋体" w:eastAsia="宋体" w:cs="宋体"/>
          <w:sz w:val="31"/>
          <w:szCs w:val="31"/>
        </w:rPr>
        <w:t> </w:t>
      </w:r>
    </w:p>
    <w:p>
      <w:pPr>
        <w:pStyle w:val="6"/>
        <w:keepNext w:val="0"/>
        <w:keepLines w:val="0"/>
        <w:widowControl/>
        <w:suppressLineNumbers w:val="0"/>
        <w:spacing w:before="210" w:beforeAutospacing="0" w:after="210" w:afterAutospacing="0" w:line="555" w:lineRule="atLeast"/>
        <w:ind w:left="0" w:right="0"/>
        <w:jc w:val="both"/>
      </w:pPr>
      <w:r>
        <w:rPr>
          <w:rFonts w:hint="eastAsia" w:ascii="宋体" w:hAnsi="宋体" w:eastAsia="宋体" w:cs="宋体"/>
          <w:sz w:val="31"/>
          <w:szCs w:val="31"/>
        </w:rPr>
        <w:t> </w:t>
      </w:r>
    </w:p>
    <w:p>
      <w:pPr>
        <w:pStyle w:val="6"/>
        <w:keepNext w:val="0"/>
        <w:keepLines w:val="0"/>
        <w:widowControl/>
        <w:suppressLineNumbers w:val="0"/>
        <w:spacing w:before="210" w:beforeAutospacing="0" w:after="210" w:afterAutospacing="0" w:line="555" w:lineRule="atLeast"/>
        <w:ind w:left="0" w:right="0"/>
        <w:jc w:val="right"/>
      </w:pPr>
      <w:r>
        <w:rPr>
          <w:rFonts w:hint="eastAsia" w:ascii="宋体" w:hAnsi="宋体" w:eastAsia="宋体" w:cs="宋体"/>
          <w:sz w:val="31"/>
          <w:szCs w:val="31"/>
        </w:rPr>
        <w:t>                        仲恺高新区自然资源分局    </w:t>
      </w:r>
    </w:p>
    <w:p>
      <w:pPr>
        <w:pStyle w:val="6"/>
        <w:keepNext w:val="0"/>
        <w:keepLines w:val="0"/>
        <w:widowControl/>
        <w:suppressLineNumbers w:val="0"/>
        <w:spacing w:before="210" w:beforeAutospacing="0" w:after="210" w:afterAutospacing="0" w:line="555" w:lineRule="atLeast"/>
        <w:ind w:left="0" w:right="0"/>
        <w:jc w:val="right"/>
      </w:pPr>
      <w:r>
        <w:rPr>
          <w:rFonts w:hint="eastAsia" w:ascii="宋体" w:hAnsi="宋体" w:eastAsia="宋体" w:cs="宋体"/>
          <w:sz w:val="31"/>
          <w:szCs w:val="31"/>
        </w:rPr>
        <w:t>                            2023年5月30日      </w:t>
      </w:r>
    </w:p>
    <w:p>
      <w:pPr>
        <w:pStyle w:val="6"/>
        <w:keepNext w:val="0"/>
        <w:keepLines w:val="0"/>
        <w:widowControl/>
        <w:suppressLineNumbers w:val="0"/>
      </w:pPr>
    </w:p>
    <w:p>
      <w:pPr>
        <w:pStyle w:val="6"/>
        <w:keepNext w:val="0"/>
        <w:keepLines w:val="0"/>
        <w:widowControl/>
        <w:suppressLineNumbers w:val="0"/>
        <w:jc w:val="center"/>
      </w:pPr>
      <w:r>
        <w:rPr>
          <w:rFonts w:hint="eastAsia" w:ascii="宋体" w:hAnsi="宋体" w:eastAsia="宋体" w:cs="宋体"/>
          <w:sz w:val="31"/>
          <w:szCs w:val="31"/>
          <w:bdr w:val="none" w:color="auto" w:sz="0" w:space="0"/>
        </w:rPr>
        <w:t>挂牌起始价及地块规划建设要求等主要指标附表</w:t>
      </w:r>
    </w:p>
    <w:tbl>
      <w:tblPr>
        <w:tblW w:w="156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20"/>
        <w:gridCol w:w="605"/>
        <w:gridCol w:w="1380"/>
        <w:gridCol w:w="750"/>
        <w:gridCol w:w="440"/>
        <w:gridCol w:w="750"/>
        <w:gridCol w:w="630"/>
        <w:gridCol w:w="932"/>
        <w:gridCol w:w="660"/>
        <w:gridCol w:w="710"/>
        <w:gridCol w:w="729"/>
        <w:gridCol w:w="750"/>
        <w:gridCol w:w="654"/>
        <w:gridCol w:w="670"/>
        <w:gridCol w:w="628"/>
        <w:gridCol w:w="718"/>
        <w:gridCol w:w="1020"/>
        <w:gridCol w:w="938"/>
        <w:gridCol w:w="783"/>
        <w:gridCol w:w="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rPr>
        <w:tc>
          <w:tcPr>
            <w:tcW w:w="72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地块挂牌编号</w:t>
            </w:r>
          </w:p>
        </w:tc>
        <w:tc>
          <w:tcPr>
            <w:tcW w:w="70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土地</w:t>
            </w:r>
          </w:p>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位置</w:t>
            </w:r>
          </w:p>
        </w:tc>
        <w:tc>
          <w:tcPr>
            <w:tcW w:w="66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用地</w:t>
            </w:r>
          </w:p>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编号</w:t>
            </w:r>
          </w:p>
        </w:tc>
        <w:tc>
          <w:tcPr>
            <w:tcW w:w="64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宗地总面积（㎡）</w:t>
            </w:r>
          </w:p>
        </w:tc>
        <w:tc>
          <w:tcPr>
            <w:tcW w:w="48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土地</w:t>
            </w:r>
          </w:p>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用途</w:t>
            </w:r>
          </w:p>
        </w:tc>
        <w:tc>
          <w:tcPr>
            <w:tcW w:w="4605" w:type="dxa"/>
            <w:gridSpan w:val="6"/>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规划指标</w:t>
            </w:r>
          </w:p>
        </w:tc>
        <w:tc>
          <w:tcPr>
            <w:tcW w:w="72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出让</w:t>
            </w:r>
          </w:p>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年限（年）</w:t>
            </w:r>
          </w:p>
        </w:tc>
        <w:tc>
          <w:tcPr>
            <w:tcW w:w="72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挂牌</w:t>
            </w:r>
          </w:p>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起始价</w:t>
            </w:r>
          </w:p>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（万元）</w:t>
            </w:r>
          </w:p>
        </w:tc>
        <w:tc>
          <w:tcPr>
            <w:tcW w:w="75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加价</w:t>
            </w:r>
          </w:p>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幅度</w:t>
            </w:r>
          </w:p>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（万元）</w:t>
            </w:r>
          </w:p>
        </w:tc>
        <w:tc>
          <w:tcPr>
            <w:tcW w:w="67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竞买</w:t>
            </w:r>
          </w:p>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保证金</w:t>
            </w:r>
          </w:p>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（万元）</w:t>
            </w:r>
          </w:p>
        </w:tc>
        <w:tc>
          <w:tcPr>
            <w:tcW w:w="76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保证金截止时间</w:t>
            </w:r>
          </w:p>
        </w:tc>
        <w:tc>
          <w:tcPr>
            <w:tcW w:w="78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投资强度</w:t>
            </w:r>
          </w:p>
        </w:tc>
        <w:tc>
          <w:tcPr>
            <w:tcW w:w="123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产业类型</w:t>
            </w:r>
          </w:p>
        </w:tc>
        <w:tc>
          <w:tcPr>
            <w:tcW w:w="109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产业项目协议书签订部门</w:t>
            </w:r>
          </w:p>
        </w:tc>
        <w:tc>
          <w:tcPr>
            <w:tcW w:w="109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25" w:hRule="atLeast"/>
        </w:trPr>
        <w:tc>
          <w:tcPr>
            <w:tcW w:w="72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sans-serif" w:hAnsi="sans-serif" w:eastAsia="sans-serif" w:cs="sans-serif"/>
                <w:sz w:val="24"/>
                <w:szCs w:val="24"/>
              </w:rPr>
            </w:pPr>
          </w:p>
        </w:tc>
        <w:tc>
          <w:tcPr>
            <w:tcW w:w="7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6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6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48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计算指标用地面积（㎡）</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容积率R</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计容建筑面积S（㎡）</w:t>
            </w:r>
          </w:p>
        </w:tc>
        <w:tc>
          <w:tcPr>
            <w:tcW w:w="5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建筑系数（%）</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绿地率（%）</w:t>
            </w:r>
          </w:p>
        </w:tc>
        <w:tc>
          <w:tcPr>
            <w:tcW w:w="8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机动车停车位配建要求</w:t>
            </w:r>
          </w:p>
        </w:tc>
        <w:tc>
          <w:tcPr>
            <w:tcW w:w="72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72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75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67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76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78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123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109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109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70"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惠仲土（用地）挂[2023]041号</w:t>
            </w:r>
          </w:p>
        </w:tc>
        <w:tc>
          <w:tcPr>
            <w:tcW w:w="7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惠州仲恺高新区357创新产业带青春片区</w:t>
            </w:r>
          </w:p>
        </w:tc>
        <w:tc>
          <w:tcPr>
            <w:tcW w:w="6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ZKQC-01-01</w:t>
            </w:r>
          </w:p>
        </w:tc>
        <w:tc>
          <w:tcPr>
            <w:tcW w:w="6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1293（其中使用权面积212㎡）</w:t>
            </w:r>
          </w:p>
        </w:tc>
        <w:tc>
          <w:tcPr>
            <w:tcW w:w="4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工业用地</w:t>
            </w:r>
          </w:p>
        </w:tc>
        <w:tc>
          <w:tcPr>
            <w:tcW w:w="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1293</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2.0≤R≤3.0</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2586≤S≤3879</w:t>
            </w:r>
          </w:p>
        </w:tc>
        <w:tc>
          <w:tcPr>
            <w:tcW w:w="5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≥35</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15≤绿地率≤20</w:t>
            </w:r>
          </w:p>
        </w:tc>
        <w:tc>
          <w:tcPr>
            <w:tcW w:w="8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按《规划设计条件告知书》要求配建</w:t>
            </w:r>
          </w:p>
        </w:tc>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50</w:t>
            </w:r>
          </w:p>
        </w:tc>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140</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10</w:t>
            </w:r>
          </w:p>
        </w:tc>
        <w:tc>
          <w:tcPr>
            <w:tcW w:w="6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28</w:t>
            </w:r>
          </w:p>
        </w:tc>
        <w:tc>
          <w:tcPr>
            <w:tcW w:w="7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2023年7月 4日9时</w:t>
            </w:r>
          </w:p>
        </w:tc>
        <w:tc>
          <w:tcPr>
            <w:tcW w:w="7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≥10513 元/㎡</w:t>
            </w:r>
          </w:p>
        </w:tc>
        <w:tc>
          <w:tcPr>
            <w:tcW w:w="12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开发区、产业集聚区配套公共服务平台建设与服务</w:t>
            </w:r>
          </w:p>
        </w:tc>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广东省仲恺高新区人工智能产业发展中心</w:t>
            </w:r>
          </w:p>
        </w:tc>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行政办公及生活服务配套设施用地面积不得超过总用地面积的7%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70"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惠仲土（用地）挂[2023]042号</w:t>
            </w:r>
          </w:p>
        </w:tc>
        <w:tc>
          <w:tcPr>
            <w:tcW w:w="7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惠州仲恺高新区357创新产业带青春片区</w:t>
            </w:r>
          </w:p>
        </w:tc>
        <w:tc>
          <w:tcPr>
            <w:tcW w:w="6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ZKQC-01-08</w:t>
            </w:r>
          </w:p>
        </w:tc>
        <w:tc>
          <w:tcPr>
            <w:tcW w:w="6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45551（其中使用权面积为36074㎡）</w:t>
            </w:r>
          </w:p>
        </w:tc>
        <w:tc>
          <w:tcPr>
            <w:tcW w:w="4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物流仓储用地</w:t>
            </w:r>
          </w:p>
        </w:tc>
        <w:tc>
          <w:tcPr>
            <w:tcW w:w="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45551</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R≥1.2</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S≥54661</w:t>
            </w:r>
          </w:p>
        </w:tc>
        <w:tc>
          <w:tcPr>
            <w:tcW w:w="5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≥30</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绿地率≥20</w:t>
            </w:r>
          </w:p>
        </w:tc>
        <w:tc>
          <w:tcPr>
            <w:tcW w:w="8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按《规划设计条件告知书》（草案）要求配建</w:t>
            </w:r>
          </w:p>
        </w:tc>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50</w:t>
            </w:r>
          </w:p>
        </w:tc>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5257</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60</w:t>
            </w:r>
          </w:p>
        </w:tc>
        <w:tc>
          <w:tcPr>
            <w:tcW w:w="6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1052</w:t>
            </w:r>
          </w:p>
        </w:tc>
        <w:tc>
          <w:tcPr>
            <w:tcW w:w="7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2023年7月 4日9时</w:t>
            </w:r>
          </w:p>
        </w:tc>
        <w:tc>
          <w:tcPr>
            <w:tcW w:w="7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≥10000 元/㎡</w:t>
            </w:r>
          </w:p>
        </w:tc>
        <w:tc>
          <w:tcPr>
            <w:tcW w:w="12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现代供应链创新与应用</w:t>
            </w:r>
          </w:p>
        </w:tc>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广东省仲恺高新区人工智能产业发展中心</w:t>
            </w:r>
          </w:p>
        </w:tc>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需配建5G通信基站1个，每处基站建筑面积≥35㎡。行政办公及生活服务配套设施用地面积不得超过总用地面积的7%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70"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惠仲土（用地）挂[2023]043号</w:t>
            </w:r>
          </w:p>
        </w:tc>
        <w:tc>
          <w:tcPr>
            <w:tcW w:w="7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惠州仲恺高新区潼湖生态智慧区国际合作产业园西区</w:t>
            </w:r>
          </w:p>
        </w:tc>
        <w:tc>
          <w:tcPr>
            <w:tcW w:w="6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ZKD-007-21-04</w:t>
            </w:r>
          </w:p>
        </w:tc>
        <w:tc>
          <w:tcPr>
            <w:tcW w:w="6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18602（其中使用权面积约为17302㎡）</w:t>
            </w:r>
          </w:p>
        </w:tc>
        <w:tc>
          <w:tcPr>
            <w:tcW w:w="4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工业用地</w:t>
            </w:r>
          </w:p>
        </w:tc>
        <w:tc>
          <w:tcPr>
            <w:tcW w:w="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18602</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1.2≤R≤2.0</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22322≤S≤37204</w:t>
            </w:r>
          </w:p>
        </w:tc>
        <w:tc>
          <w:tcPr>
            <w:tcW w:w="5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≥30</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15≤绿地率≤20</w:t>
            </w:r>
          </w:p>
        </w:tc>
        <w:tc>
          <w:tcPr>
            <w:tcW w:w="8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按《规划设计条件告知书》（草案）要求配建</w:t>
            </w:r>
          </w:p>
        </w:tc>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50</w:t>
            </w:r>
          </w:p>
        </w:tc>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1948</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20</w:t>
            </w:r>
          </w:p>
        </w:tc>
        <w:tc>
          <w:tcPr>
            <w:tcW w:w="6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390</w:t>
            </w:r>
          </w:p>
        </w:tc>
        <w:tc>
          <w:tcPr>
            <w:tcW w:w="7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2023年7月 4日9时</w:t>
            </w:r>
          </w:p>
        </w:tc>
        <w:tc>
          <w:tcPr>
            <w:tcW w:w="7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≥13880 元/㎡</w:t>
            </w:r>
          </w:p>
        </w:tc>
        <w:tc>
          <w:tcPr>
            <w:tcW w:w="12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五轴及以上联动数控机床，数控系统，高精密、高性能的切削刀具、量具量仪和磨料磨具</w:t>
            </w:r>
          </w:p>
        </w:tc>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惠州仲恺高新区管理委员会科技创新和投资促进局</w:t>
            </w:r>
          </w:p>
        </w:tc>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需配建5G通信基站1个，每处基站建筑面积≥35㎡。行政办公及生活服务配套设施用地面积不得超过总用地面积的7%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70"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惠仲土（用地）挂[2023]044号</w:t>
            </w:r>
          </w:p>
        </w:tc>
        <w:tc>
          <w:tcPr>
            <w:tcW w:w="7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惠州仲恺高新区潼湖生态智慧区国际合作产业园西区</w:t>
            </w:r>
          </w:p>
        </w:tc>
        <w:tc>
          <w:tcPr>
            <w:tcW w:w="6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ZKD-007-21-05</w:t>
            </w:r>
          </w:p>
        </w:tc>
        <w:tc>
          <w:tcPr>
            <w:tcW w:w="6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48203（其中使用权面积约为47145 ㎡）</w:t>
            </w:r>
          </w:p>
        </w:tc>
        <w:tc>
          <w:tcPr>
            <w:tcW w:w="4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工业用地</w:t>
            </w:r>
          </w:p>
        </w:tc>
        <w:tc>
          <w:tcPr>
            <w:tcW w:w="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48203</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1.2≤R≤2.0</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57844≤S≤96406</w:t>
            </w:r>
          </w:p>
        </w:tc>
        <w:tc>
          <w:tcPr>
            <w:tcW w:w="5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≥30</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15≤绿地率≤20</w:t>
            </w:r>
          </w:p>
        </w:tc>
        <w:tc>
          <w:tcPr>
            <w:tcW w:w="8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按《规划设计条件告知书》（草案）要求配建</w:t>
            </w:r>
          </w:p>
        </w:tc>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50</w:t>
            </w:r>
          </w:p>
        </w:tc>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5037</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60</w:t>
            </w:r>
          </w:p>
        </w:tc>
        <w:tc>
          <w:tcPr>
            <w:tcW w:w="6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1008</w:t>
            </w:r>
          </w:p>
        </w:tc>
        <w:tc>
          <w:tcPr>
            <w:tcW w:w="7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2023年7月 4日9时</w:t>
            </w:r>
          </w:p>
        </w:tc>
        <w:tc>
          <w:tcPr>
            <w:tcW w:w="7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≥16667 元/㎡</w:t>
            </w:r>
          </w:p>
        </w:tc>
        <w:tc>
          <w:tcPr>
            <w:tcW w:w="12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非金属制品精密模具设计、制造领域</w:t>
            </w:r>
          </w:p>
        </w:tc>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惠州仲恺高新区管理委员会科技创新和投资促进局</w:t>
            </w:r>
          </w:p>
        </w:tc>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需配建5G通信基站2个，每处基站建筑面积≥35㎡。行政办公及生活服务配套设施用地面积不得超过总用地面积的7%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70"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惠仲土（用地）挂[2023]045号</w:t>
            </w:r>
          </w:p>
        </w:tc>
        <w:tc>
          <w:tcPr>
            <w:tcW w:w="7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惠州仲恺高新区潼湖生态智慧区国际合作产业园西区</w:t>
            </w:r>
          </w:p>
        </w:tc>
        <w:tc>
          <w:tcPr>
            <w:tcW w:w="6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ZKD-003-10</w:t>
            </w:r>
          </w:p>
        </w:tc>
        <w:tc>
          <w:tcPr>
            <w:tcW w:w="6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36493（其中使用权面积为29825㎡）</w:t>
            </w:r>
          </w:p>
        </w:tc>
        <w:tc>
          <w:tcPr>
            <w:tcW w:w="4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工业用地</w:t>
            </w:r>
          </w:p>
        </w:tc>
        <w:tc>
          <w:tcPr>
            <w:tcW w:w="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36493</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2.0≤R≤2.5</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72986≤S≤91233</w:t>
            </w:r>
          </w:p>
        </w:tc>
        <w:tc>
          <w:tcPr>
            <w:tcW w:w="5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≥30</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15≤绿地率≤20</w:t>
            </w:r>
          </w:p>
        </w:tc>
        <w:tc>
          <w:tcPr>
            <w:tcW w:w="8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按《规划设计条件告知书》要求配建</w:t>
            </w:r>
          </w:p>
        </w:tc>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50</w:t>
            </w:r>
          </w:p>
        </w:tc>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2702</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30</w:t>
            </w:r>
          </w:p>
        </w:tc>
        <w:tc>
          <w:tcPr>
            <w:tcW w:w="6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541</w:t>
            </w:r>
          </w:p>
        </w:tc>
        <w:tc>
          <w:tcPr>
            <w:tcW w:w="7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2023年7月 4日9时</w:t>
            </w:r>
          </w:p>
        </w:tc>
        <w:tc>
          <w:tcPr>
            <w:tcW w:w="7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11500元/㎡</w:t>
            </w:r>
          </w:p>
        </w:tc>
        <w:tc>
          <w:tcPr>
            <w:tcW w:w="12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智能家居</w:t>
            </w:r>
          </w:p>
        </w:tc>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惠州潼湖生态智慧区管理委员会</w:t>
            </w:r>
          </w:p>
        </w:tc>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需配建5G通信基站2个，每处基站建筑面积≥35㎡。行政办公及生活服务配套设施用地面积不得超过总用地面积的7%</w:t>
            </w:r>
          </w:p>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70"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惠仲土（用地）挂[2023]046号</w:t>
            </w:r>
          </w:p>
        </w:tc>
        <w:tc>
          <w:tcPr>
            <w:tcW w:w="7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惠州仲恺高新区英山片区</w:t>
            </w:r>
          </w:p>
        </w:tc>
        <w:tc>
          <w:tcPr>
            <w:tcW w:w="6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ZKE-065-16</w:t>
            </w:r>
          </w:p>
        </w:tc>
        <w:tc>
          <w:tcPr>
            <w:tcW w:w="6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28233（其中使用权面积为24247㎡）</w:t>
            </w:r>
          </w:p>
        </w:tc>
        <w:tc>
          <w:tcPr>
            <w:tcW w:w="4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工业用地</w:t>
            </w:r>
          </w:p>
        </w:tc>
        <w:tc>
          <w:tcPr>
            <w:tcW w:w="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28233</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1.6≤R≤2.5</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45173≤S≤70583</w:t>
            </w:r>
          </w:p>
        </w:tc>
        <w:tc>
          <w:tcPr>
            <w:tcW w:w="5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≥30</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15≤绿地率≤20</w:t>
            </w:r>
          </w:p>
        </w:tc>
        <w:tc>
          <w:tcPr>
            <w:tcW w:w="8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按《规划设计条件告知书》要求配建</w:t>
            </w:r>
          </w:p>
        </w:tc>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50</w:t>
            </w:r>
          </w:p>
        </w:tc>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2916</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30</w:t>
            </w:r>
          </w:p>
        </w:tc>
        <w:tc>
          <w:tcPr>
            <w:tcW w:w="6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584</w:t>
            </w:r>
          </w:p>
        </w:tc>
        <w:tc>
          <w:tcPr>
            <w:tcW w:w="7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2023年7月 4日9时</w:t>
            </w:r>
          </w:p>
        </w:tc>
        <w:tc>
          <w:tcPr>
            <w:tcW w:w="7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≥16071元/㎡</w:t>
            </w:r>
          </w:p>
        </w:tc>
        <w:tc>
          <w:tcPr>
            <w:tcW w:w="12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新材料</w:t>
            </w:r>
          </w:p>
        </w:tc>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惠州仲恺高新区管理委员会科技创新和投资促进局</w:t>
            </w:r>
          </w:p>
        </w:tc>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行政办公及生活服务配套设施用地面积不得超过总用地面积的7%；需配建5G通信基站1个，每处基站建筑面积≥35㎡，需配建配电网开关1个，60㎡≤每处建筑面积≤200㎡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70"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惠仲土（用地）挂[2023]047号</w:t>
            </w:r>
          </w:p>
        </w:tc>
        <w:tc>
          <w:tcPr>
            <w:tcW w:w="7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惠州仲恺高新区英山片区</w:t>
            </w:r>
          </w:p>
        </w:tc>
        <w:tc>
          <w:tcPr>
            <w:tcW w:w="6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ZKE-065-15</w:t>
            </w:r>
          </w:p>
        </w:tc>
        <w:tc>
          <w:tcPr>
            <w:tcW w:w="6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34371（其中使用权面积为27087㎡）</w:t>
            </w:r>
          </w:p>
        </w:tc>
        <w:tc>
          <w:tcPr>
            <w:tcW w:w="4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工业用地</w:t>
            </w:r>
          </w:p>
        </w:tc>
        <w:tc>
          <w:tcPr>
            <w:tcW w:w="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34371</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1.6≤R≤2.5</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54994≤S≤85928</w:t>
            </w:r>
          </w:p>
        </w:tc>
        <w:tc>
          <w:tcPr>
            <w:tcW w:w="5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≥30</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15≤绿地率≤20</w:t>
            </w:r>
          </w:p>
        </w:tc>
        <w:tc>
          <w:tcPr>
            <w:tcW w:w="8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按《规划设计条件告知书》（草案）要求配建</w:t>
            </w:r>
          </w:p>
        </w:tc>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50</w:t>
            </w:r>
          </w:p>
        </w:tc>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3603</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40</w:t>
            </w:r>
          </w:p>
        </w:tc>
        <w:tc>
          <w:tcPr>
            <w:tcW w:w="6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721</w:t>
            </w:r>
          </w:p>
        </w:tc>
        <w:tc>
          <w:tcPr>
            <w:tcW w:w="7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2023年7月 4日9时</w:t>
            </w:r>
          </w:p>
        </w:tc>
        <w:tc>
          <w:tcPr>
            <w:tcW w:w="7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≥20000元/㎡</w:t>
            </w:r>
          </w:p>
        </w:tc>
        <w:tc>
          <w:tcPr>
            <w:tcW w:w="12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人工智能</w:t>
            </w:r>
          </w:p>
        </w:tc>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惠州仲恺高新区管理委员会科技创新和投资促进局</w:t>
            </w:r>
          </w:p>
        </w:tc>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行政办公及生活服务配套设施用地面积不得超过总用地面积的7%；需配建5G通信基站2个，每处基站建筑面积≥35㎡，需配建配电网开关1个，60㎡≤每处建筑面积≤200㎡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70"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惠仲土（用地）挂[2023]048号</w:t>
            </w:r>
          </w:p>
        </w:tc>
        <w:tc>
          <w:tcPr>
            <w:tcW w:w="7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惠州潼湖生态智慧区国际合作产业园东区</w:t>
            </w:r>
          </w:p>
        </w:tc>
        <w:tc>
          <w:tcPr>
            <w:tcW w:w="6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ZKD-001-25</w:t>
            </w:r>
          </w:p>
        </w:tc>
        <w:tc>
          <w:tcPr>
            <w:tcW w:w="6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14143（其中使用权面积9326㎡）</w:t>
            </w:r>
          </w:p>
        </w:tc>
        <w:tc>
          <w:tcPr>
            <w:tcW w:w="4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工业用地</w:t>
            </w:r>
          </w:p>
        </w:tc>
        <w:tc>
          <w:tcPr>
            <w:tcW w:w="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14143</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2.0≤R≤2.5</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28286≤S≤35357.5</w:t>
            </w:r>
          </w:p>
        </w:tc>
        <w:tc>
          <w:tcPr>
            <w:tcW w:w="5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≥30</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15≤绿地率≤20</w:t>
            </w:r>
          </w:p>
        </w:tc>
        <w:tc>
          <w:tcPr>
            <w:tcW w:w="8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按《规划设计条件告知书》要求配建</w:t>
            </w:r>
          </w:p>
        </w:tc>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50</w:t>
            </w:r>
          </w:p>
        </w:tc>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1264</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20</w:t>
            </w:r>
          </w:p>
        </w:tc>
        <w:tc>
          <w:tcPr>
            <w:tcW w:w="6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253</w:t>
            </w:r>
          </w:p>
        </w:tc>
        <w:tc>
          <w:tcPr>
            <w:tcW w:w="7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2023年7月 4日9时</w:t>
            </w:r>
          </w:p>
        </w:tc>
        <w:tc>
          <w:tcPr>
            <w:tcW w:w="7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 6337元/㎡</w:t>
            </w:r>
          </w:p>
        </w:tc>
        <w:tc>
          <w:tcPr>
            <w:tcW w:w="12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智能制造关键技术装备</w:t>
            </w:r>
          </w:p>
        </w:tc>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惠州仲恺高新区管理委员会科技创新和投资促进局</w:t>
            </w:r>
          </w:p>
        </w:tc>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配建1个垃圾收集点。行政办公及生活服务配套设施用地面积不得超过总用地面积的7%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70"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惠仲土（用地）挂[2023]049号</w:t>
            </w:r>
          </w:p>
        </w:tc>
        <w:tc>
          <w:tcPr>
            <w:tcW w:w="7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惠州潼湖生态智慧区国际合作产业园中区</w:t>
            </w:r>
          </w:p>
        </w:tc>
        <w:tc>
          <w:tcPr>
            <w:tcW w:w="6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ZKD-003-05-01</w:t>
            </w:r>
          </w:p>
        </w:tc>
        <w:tc>
          <w:tcPr>
            <w:tcW w:w="6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12249（其中使用权面积为11864㎡）</w:t>
            </w:r>
          </w:p>
        </w:tc>
        <w:tc>
          <w:tcPr>
            <w:tcW w:w="4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工业用地</w:t>
            </w:r>
          </w:p>
        </w:tc>
        <w:tc>
          <w:tcPr>
            <w:tcW w:w="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12249</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2.0≤R≤2.5</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24498≤S≤30623</w:t>
            </w:r>
          </w:p>
        </w:tc>
        <w:tc>
          <w:tcPr>
            <w:tcW w:w="5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≥30</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15≤绿地率≤20</w:t>
            </w:r>
          </w:p>
        </w:tc>
        <w:tc>
          <w:tcPr>
            <w:tcW w:w="8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按《规划设计条件告知书》要求配建</w:t>
            </w:r>
          </w:p>
        </w:tc>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50</w:t>
            </w:r>
          </w:p>
        </w:tc>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936</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10</w:t>
            </w:r>
          </w:p>
        </w:tc>
        <w:tc>
          <w:tcPr>
            <w:tcW w:w="6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188</w:t>
            </w:r>
          </w:p>
        </w:tc>
        <w:tc>
          <w:tcPr>
            <w:tcW w:w="7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2023年7月 4日9时</w:t>
            </w:r>
          </w:p>
        </w:tc>
        <w:tc>
          <w:tcPr>
            <w:tcW w:w="7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≥10000元/㎡</w:t>
            </w:r>
          </w:p>
        </w:tc>
        <w:tc>
          <w:tcPr>
            <w:tcW w:w="12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智能装备系统集成化技术及应用</w:t>
            </w:r>
          </w:p>
        </w:tc>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惠州潼湖生态智慧区管理委员会</w:t>
            </w:r>
          </w:p>
        </w:tc>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配建1个5G通信基站，每处基站建筑面积≥35㎡。行政办公及生活服务配套设施用地面积不得超过总用地面积的7%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0"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惠仲土（用地）挂[2023]050号</w:t>
            </w:r>
          </w:p>
        </w:tc>
        <w:tc>
          <w:tcPr>
            <w:tcW w:w="7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惠州潼湖生态智慧区国际合作产业园西区</w:t>
            </w:r>
          </w:p>
        </w:tc>
        <w:tc>
          <w:tcPr>
            <w:tcW w:w="6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ZKD-007-13-02</w:t>
            </w:r>
          </w:p>
        </w:tc>
        <w:tc>
          <w:tcPr>
            <w:tcW w:w="6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3571（其中使用权面积为2720㎡）</w:t>
            </w:r>
          </w:p>
        </w:tc>
        <w:tc>
          <w:tcPr>
            <w:tcW w:w="4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工业用地</w:t>
            </w:r>
          </w:p>
        </w:tc>
        <w:tc>
          <w:tcPr>
            <w:tcW w:w="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3571</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2.0≤R≤3.5</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7142≤S≤12499</w:t>
            </w:r>
          </w:p>
        </w:tc>
        <w:tc>
          <w:tcPr>
            <w:tcW w:w="5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≥30</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15≤绿地率≤20</w:t>
            </w:r>
          </w:p>
        </w:tc>
        <w:tc>
          <w:tcPr>
            <w:tcW w:w="8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按《规划设计条件告知书》要求配建</w:t>
            </w:r>
          </w:p>
        </w:tc>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47</w:t>
            </w:r>
          </w:p>
        </w:tc>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405</w:t>
            </w:r>
          </w:p>
        </w:tc>
        <w:tc>
          <w:tcPr>
            <w:tcW w:w="7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10</w:t>
            </w:r>
          </w:p>
        </w:tc>
        <w:tc>
          <w:tcPr>
            <w:tcW w:w="6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81</w:t>
            </w:r>
          </w:p>
        </w:tc>
        <w:tc>
          <w:tcPr>
            <w:tcW w:w="7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2023年7月 4日9时</w:t>
            </w:r>
          </w:p>
        </w:tc>
        <w:tc>
          <w:tcPr>
            <w:tcW w:w="7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≥10000元/㎡</w:t>
            </w:r>
          </w:p>
        </w:tc>
        <w:tc>
          <w:tcPr>
            <w:tcW w:w="12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智能建筑产品与设备的生产制造与集成技术研究</w:t>
            </w:r>
          </w:p>
        </w:tc>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惠州潼湖生态智慧区管理委员会</w:t>
            </w:r>
          </w:p>
        </w:tc>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6"/>
              <w:keepNext w:val="0"/>
              <w:keepLines w:val="0"/>
              <w:widowControl/>
              <w:suppressLineNumbers w:val="0"/>
              <w:spacing w:before="210" w:beforeAutospacing="0" w:after="210" w:afterAutospacing="0"/>
              <w:ind w:left="0" w:right="0"/>
              <w:jc w:val="center"/>
            </w:pPr>
            <w:r>
              <w:rPr>
                <w:rFonts w:hint="eastAsia" w:ascii="宋体" w:hAnsi="宋体" w:eastAsia="宋体" w:cs="宋体"/>
                <w:sz w:val="18"/>
                <w:szCs w:val="18"/>
              </w:rPr>
              <w:t>行政办公及生活服务配套设施用地面积不得超过总用地面积的7%</w:t>
            </w:r>
          </w:p>
        </w:tc>
      </w:tr>
    </w:tbl>
    <w:p>
      <w:pPr>
        <w:pStyle w:val="6"/>
        <w:keepNext w:val="0"/>
        <w:keepLines w:val="0"/>
        <w:widowControl/>
        <w:suppressLineNumbers w:val="0"/>
      </w:pPr>
      <w:r>
        <w:rPr>
          <w:rFonts w:hint="eastAsia" w:ascii="宋体" w:hAnsi="宋体" w:eastAsia="宋体" w:cs="宋体"/>
          <w:color w:val="000000"/>
          <w:sz w:val="24"/>
          <w:szCs w:val="24"/>
          <w:bdr w:val="none" w:color="auto" w:sz="0" w:space="0"/>
        </w:rPr>
        <w:t> </w:t>
      </w:r>
    </w:p>
    <w:p>
      <w:pPr>
        <w:pStyle w:val="6"/>
        <w:keepNext w:val="0"/>
        <w:keepLines w:val="0"/>
        <w:widowControl/>
        <w:suppressLineNumbers w:val="0"/>
      </w:pPr>
      <w:r>
        <w:rPr>
          <w:rFonts w:hint="eastAsia" w:ascii="宋体" w:hAnsi="宋体" w:eastAsia="宋体" w:cs="宋体"/>
          <w:color w:val="000000"/>
          <w:sz w:val="24"/>
          <w:szCs w:val="24"/>
          <w:bdr w:val="none" w:color="auto" w:sz="0" w:space="0"/>
        </w:rPr>
        <w:t> </w:t>
      </w:r>
    </w:p>
    <w:p>
      <w:pPr>
        <w:pStyle w:val="6"/>
        <w:keepNext w:val="0"/>
        <w:keepLines w:val="0"/>
        <w:widowControl/>
        <w:suppressLineNumbers w:val="0"/>
      </w:pPr>
      <w:r>
        <w:rPr>
          <w:bdr w:val="none" w:color="auto" w:sz="0" w:space="0"/>
        </w:rPr>
        <w:t> </w:t>
      </w:r>
    </w:p>
    <w:p>
      <w:pPr>
        <w:pStyle w:val="2"/>
      </w:pPr>
    </w:p>
    <w:p/>
    <w:sectPr>
      <w:pgSz w:w="16838" w:h="11906" w:orient="landscape"/>
      <w:pgMar w:top="1123" w:right="1440" w:bottom="112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6FD5767B-C58E-49A6-B03E-B8CDFB3373F9}"/>
  </w:font>
  <w:font w:name="方正小标宋_GBK">
    <w:panose1 w:val="03000509000000000000"/>
    <w:charset w:val="86"/>
    <w:family w:val="script"/>
    <w:pitch w:val="default"/>
    <w:sig w:usb0="00000001" w:usb1="080E0000" w:usb2="00000000" w:usb3="00000000" w:csb0="00040000" w:csb1="00000000"/>
    <w:embedRegular r:id="rId2" w:fontKey="{4C6761F9-51C3-443C-A00B-89D1A55EA27C}"/>
  </w:font>
  <w:font w:name="华文中宋">
    <w:panose1 w:val="02010600040101010101"/>
    <w:charset w:val="86"/>
    <w:family w:val="auto"/>
    <w:pitch w:val="default"/>
    <w:sig w:usb0="00000287" w:usb1="080F0000" w:usb2="00000000" w:usb3="00000000" w:csb0="0004009F" w:csb1="DFD70000"/>
    <w:embedRegular r:id="rId3" w:fontKey="{9EE6D2FB-2EE0-4F53-98D7-1BC10532EFCB}"/>
  </w:font>
  <w:font w:name="sans-serif">
    <w:altName w:val="Segoe Print"/>
    <w:panose1 w:val="00000000000000000000"/>
    <w:charset w:val="00"/>
    <w:family w:val="auto"/>
    <w:pitch w:val="default"/>
    <w:sig w:usb0="00000000" w:usb1="00000000" w:usb2="00000000" w:usb3="00000000" w:csb0="00000000" w:csb1="00000000"/>
    <w:embedRegular r:id="rId4" w:fontKey="{E21F3B40-0331-4FCA-9ABD-337E8D23B2E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662110"/>
    <w:rsid w:val="006906DA"/>
    <w:rsid w:val="00714360"/>
    <w:rsid w:val="009031C3"/>
    <w:rsid w:val="00904750"/>
    <w:rsid w:val="00DE2070"/>
    <w:rsid w:val="015B4A06"/>
    <w:rsid w:val="047A778E"/>
    <w:rsid w:val="06DF3FC3"/>
    <w:rsid w:val="076C79FD"/>
    <w:rsid w:val="08962D0E"/>
    <w:rsid w:val="08E746A4"/>
    <w:rsid w:val="092E48AA"/>
    <w:rsid w:val="0B177818"/>
    <w:rsid w:val="0BA1792C"/>
    <w:rsid w:val="0C673F81"/>
    <w:rsid w:val="0E9F37E5"/>
    <w:rsid w:val="120D798A"/>
    <w:rsid w:val="12F47048"/>
    <w:rsid w:val="13255C09"/>
    <w:rsid w:val="13640989"/>
    <w:rsid w:val="14123C2A"/>
    <w:rsid w:val="14936383"/>
    <w:rsid w:val="18736C61"/>
    <w:rsid w:val="1916216C"/>
    <w:rsid w:val="1A0456EB"/>
    <w:rsid w:val="1B742AD4"/>
    <w:rsid w:val="1BF35718"/>
    <w:rsid w:val="1D156539"/>
    <w:rsid w:val="1D37702F"/>
    <w:rsid w:val="1D5A220F"/>
    <w:rsid w:val="1EB36C6D"/>
    <w:rsid w:val="1F0E3240"/>
    <w:rsid w:val="1F574CD6"/>
    <w:rsid w:val="1FC711BC"/>
    <w:rsid w:val="20234F02"/>
    <w:rsid w:val="20637A8F"/>
    <w:rsid w:val="218B56F1"/>
    <w:rsid w:val="21D8284A"/>
    <w:rsid w:val="23000A25"/>
    <w:rsid w:val="232C3731"/>
    <w:rsid w:val="244A448C"/>
    <w:rsid w:val="25D81F1B"/>
    <w:rsid w:val="25F86B3A"/>
    <w:rsid w:val="27947DA4"/>
    <w:rsid w:val="27953EB3"/>
    <w:rsid w:val="2AFA5DE6"/>
    <w:rsid w:val="2B674404"/>
    <w:rsid w:val="2D016192"/>
    <w:rsid w:val="2D8748E9"/>
    <w:rsid w:val="2DB3718B"/>
    <w:rsid w:val="30515DD5"/>
    <w:rsid w:val="30EE4C7F"/>
    <w:rsid w:val="32207F2E"/>
    <w:rsid w:val="32FD582A"/>
    <w:rsid w:val="34D14651"/>
    <w:rsid w:val="352D33B5"/>
    <w:rsid w:val="36B84307"/>
    <w:rsid w:val="37BF2BD9"/>
    <w:rsid w:val="39E869C3"/>
    <w:rsid w:val="3C0178D1"/>
    <w:rsid w:val="3E4D3FE7"/>
    <w:rsid w:val="3EF50744"/>
    <w:rsid w:val="40B82BB4"/>
    <w:rsid w:val="411E54C9"/>
    <w:rsid w:val="438C0A54"/>
    <w:rsid w:val="44755126"/>
    <w:rsid w:val="48642B7D"/>
    <w:rsid w:val="48C20A74"/>
    <w:rsid w:val="496B3928"/>
    <w:rsid w:val="4A2C089A"/>
    <w:rsid w:val="4B6613A8"/>
    <w:rsid w:val="4D662110"/>
    <w:rsid w:val="4F616B49"/>
    <w:rsid w:val="50EA0B67"/>
    <w:rsid w:val="51D86272"/>
    <w:rsid w:val="53E05D0A"/>
    <w:rsid w:val="546B427E"/>
    <w:rsid w:val="54EF2BF0"/>
    <w:rsid w:val="55EB5D3E"/>
    <w:rsid w:val="562961DA"/>
    <w:rsid w:val="578A2E8A"/>
    <w:rsid w:val="580B134B"/>
    <w:rsid w:val="58FC66E8"/>
    <w:rsid w:val="5A100576"/>
    <w:rsid w:val="5A6279C1"/>
    <w:rsid w:val="5D992B1E"/>
    <w:rsid w:val="5E9A0802"/>
    <w:rsid w:val="5EA37433"/>
    <w:rsid w:val="5F0F23ED"/>
    <w:rsid w:val="60425832"/>
    <w:rsid w:val="646C1462"/>
    <w:rsid w:val="662035C9"/>
    <w:rsid w:val="678A17F8"/>
    <w:rsid w:val="68A8338A"/>
    <w:rsid w:val="6910292A"/>
    <w:rsid w:val="69EE4FDB"/>
    <w:rsid w:val="6A8D5938"/>
    <w:rsid w:val="6C76570E"/>
    <w:rsid w:val="6E253E21"/>
    <w:rsid w:val="6E3B6A4F"/>
    <w:rsid w:val="6E7C552E"/>
    <w:rsid w:val="70663C95"/>
    <w:rsid w:val="714C23B7"/>
    <w:rsid w:val="71775B8D"/>
    <w:rsid w:val="719B478C"/>
    <w:rsid w:val="73682AE4"/>
    <w:rsid w:val="74645637"/>
    <w:rsid w:val="75470B71"/>
    <w:rsid w:val="75695C4F"/>
    <w:rsid w:val="76546D13"/>
    <w:rsid w:val="788A33B0"/>
    <w:rsid w:val="78903695"/>
    <w:rsid w:val="78AC4C07"/>
    <w:rsid w:val="798967A3"/>
    <w:rsid w:val="79BE6D15"/>
    <w:rsid w:val="79EA489A"/>
    <w:rsid w:val="7B892BA7"/>
    <w:rsid w:val="7C0D07F8"/>
    <w:rsid w:val="7C541E39"/>
    <w:rsid w:val="7C7C0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0"/>
    <w:pPr>
      <w:ind w:firstLine="420" w:firstLineChars="200"/>
    </w:pPr>
  </w:style>
  <w:style w:type="paragraph" w:styleId="4">
    <w:name w:val="footer"/>
    <w:basedOn w:val="1"/>
    <w:link w:val="15"/>
    <w:qFormat/>
    <w:uiPriority w:val="0"/>
    <w:pPr>
      <w:tabs>
        <w:tab w:val="center" w:pos="4153"/>
        <w:tab w:val="right" w:pos="8306"/>
      </w:tabs>
      <w:snapToGrid w:val="0"/>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75" w:beforeAutospacing="0" w:after="75" w:afterAutospacing="0"/>
      <w:ind w:left="0" w:right="0"/>
      <w:jc w:val="left"/>
    </w:pPr>
    <w:rPr>
      <w:kern w:val="0"/>
      <w:sz w:val="24"/>
      <w:lang w:val="en-US" w:eastAsia="zh-CN" w:bidi="ar"/>
    </w:rPr>
  </w:style>
  <w:style w:type="character" w:styleId="9">
    <w:name w:val="Hyperlink"/>
    <w:basedOn w:val="8"/>
    <w:uiPriority w:val="0"/>
    <w:rPr>
      <w:color w:val="0000FF"/>
      <w:u w:val="single"/>
    </w:rPr>
  </w:style>
  <w:style w:type="paragraph" w:customStyle="1" w:styleId="10">
    <w:name w:val="_Style 1"/>
    <w:basedOn w:val="11"/>
    <w:qFormat/>
    <w:uiPriority w:val="1"/>
    <w:pPr>
      <w:adjustRightInd w:val="0"/>
      <w:snapToGrid w:val="0"/>
      <w:spacing w:line="620" w:lineRule="exact"/>
      <w:ind w:firstLine="200" w:firstLineChars="200"/>
    </w:pPr>
    <w:rPr>
      <w:rFonts w:cs="Times New Roman"/>
      <w:sz w:val="32"/>
      <w:szCs w:val="21"/>
    </w:rPr>
  </w:style>
  <w:style w:type="paragraph" w:customStyle="1" w:styleId="11">
    <w:name w:val="正文 New New New New New New New New New New New New New New New New New New New New New New New New New New New New New New New"/>
    <w:next w:val="10"/>
    <w:qFormat/>
    <w:uiPriority w:val="0"/>
    <w:pPr>
      <w:widowControl w:val="0"/>
      <w:jc w:val="both"/>
    </w:pPr>
    <w:rPr>
      <w:rFonts w:ascii="Calibri" w:hAnsi="Calibri" w:eastAsia="宋体" w:cs="黑体"/>
      <w:kern w:val="2"/>
      <w:sz w:val="21"/>
      <w:szCs w:val="22"/>
      <w:lang w:val="en-US" w:eastAsia="zh-CN" w:bidi="ar-SA"/>
    </w:rPr>
  </w:style>
  <w:style w:type="paragraph" w:customStyle="1" w:styleId="12">
    <w:name w:val="Body text|1"/>
    <w:basedOn w:val="1"/>
    <w:qFormat/>
    <w:uiPriority w:val="0"/>
    <w:pPr>
      <w:spacing w:line="439" w:lineRule="auto"/>
      <w:ind w:firstLine="400"/>
    </w:pPr>
    <w:rPr>
      <w:rFonts w:ascii="宋体" w:hAnsi="宋体" w:eastAsia="宋体" w:cs="宋体"/>
      <w:sz w:val="30"/>
      <w:szCs w:val="30"/>
      <w:lang w:val="zh-TW" w:eastAsia="zh-TW" w:bidi="zh-TW"/>
    </w:rPr>
  </w:style>
  <w:style w:type="paragraph" w:customStyle="1" w:styleId="13">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
    <w:name w:val="页眉 字符"/>
    <w:basedOn w:val="8"/>
    <w:link w:val="5"/>
    <w:qFormat/>
    <w:uiPriority w:val="0"/>
    <w:rPr>
      <w:rFonts w:eastAsia="Times New Roman"/>
      <w:color w:val="000000"/>
      <w:sz w:val="18"/>
      <w:szCs w:val="18"/>
      <w:lang w:eastAsia="en-US" w:bidi="en-US"/>
    </w:rPr>
  </w:style>
  <w:style w:type="character" w:customStyle="1" w:styleId="15">
    <w:name w:val="页脚 字符"/>
    <w:basedOn w:val="8"/>
    <w:link w:val="4"/>
    <w:qFormat/>
    <w:uiPriority w:val="0"/>
    <w:rPr>
      <w:rFonts w:eastAsia="Times New Roman"/>
      <w:color w:val="000000"/>
      <w:sz w:val="18"/>
      <w:szCs w:val="18"/>
      <w:lang w:eastAsia="en-US" w:bidi="en-US"/>
    </w:rPr>
  </w:style>
  <w:style w:type="paragraph" w:customStyle="1" w:styleId="16">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
    <w:name w:val="正文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14</Pages>
  <Words>5822</Words>
  <Characters>6896</Characters>
  <Lines>34</Lines>
  <Paragraphs>9</Paragraphs>
  <TotalTime>129</TotalTime>
  <ScaleCrop>false</ScaleCrop>
  <LinksUpToDate>false</LinksUpToDate>
  <CharactersWithSpaces>6985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2022-11-02T03:55:00Z</dcterms:created>
  <dc:creator>✨亮亮✨</dc:creator>
  <cp:lastModifiedBy>欧老</cp:lastModifiedBy>
  <cp:lastPrinted>2022-12-17T11:49:00Z</cp:lastPrinted>
  <dcterms:modified xsi:type="dcterms:W3CDTF">2023-05-29T18:05:45Z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682BC96672F649A7A473D9362E0280A3_13</vt:lpwstr>
  </property>
</Properties>
</file>